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62C04" w14:textId="3DB009D8" w:rsidR="00F1238C" w:rsidRPr="00A00F2C" w:rsidRDefault="00D564E6" w:rsidP="004E0A55">
      <w:pPr>
        <w:pStyle w:val="Heading1"/>
        <w:ind w:left="-180" w:right="-180" w:firstLine="0"/>
        <w:contextualSpacing/>
        <w:rPr>
          <w:rFonts w:ascii="Calibri" w:hAnsi="Calibri" w:cs="Calibri"/>
          <w:b/>
          <w:color w:val="1F3864"/>
          <w:sz w:val="28"/>
          <w:szCs w:val="28"/>
          <w:u w:val="single"/>
        </w:rPr>
      </w:pPr>
      <w:r w:rsidRPr="00A00F2C">
        <w:rPr>
          <w:rFonts w:ascii="Calibri" w:hAnsi="Calibri" w:cs="Calibri"/>
          <w:b/>
          <w:color w:val="1F3864"/>
          <w:sz w:val="28"/>
          <w:szCs w:val="28"/>
        </w:rPr>
        <w:t xml:space="preserve">SDSU FUERTE: </w:t>
      </w:r>
      <w:r w:rsidRPr="00A00F2C">
        <w:rPr>
          <w:rFonts w:ascii="Calibri" w:hAnsi="Calibri" w:cs="Calibri"/>
          <w:b/>
          <w:color w:val="1F3864"/>
          <w:sz w:val="28"/>
          <w:szCs w:val="28"/>
          <w:u w:val="single"/>
        </w:rPr>
        <w:t>Faculty United towards Excellence in Research and Transformational Engagement</w:t>
      </w:r>
    </w:p>
    <w:p w14:paraId="661190A6" w14:textId="77777777" w:rsidR="00D9476D" w:rsidRPr="00CD0077" w:rsidRDefault="00D9476D" w:rsidP="004E0A55">
      <w:pPr>
        <w:pStyle w:val="Heading1"/>
        <w:ind w:left="0" w:firstLine="0"/>
        <w:contextualSpacing/>
        <w:jc w:val="center"/>
        <w:rPr>
          <w:rFonts w:ascii="Calibri" w:hAnsi="Calibri" w:cs="Calibri"/>
          <w:color w:val="1F3864"/>
          <w:sz w:val="28"/>
          <w:szCs w:val="28"/>
        </w:rPr>
      </w:pPr>
    </w:p>
    <w:p w14:paraId="4622A75E" w14:textId="11591E1E" w:rsidR="007E2DF8" w:rsidRPr="00CF0085" w:rsidRDefault="007E2DF8" w:rsidP="004E0A55">
      <w:pPr>
        <w:pStyle w:val="Heading1"/>
        <w:ind w:left="0" w:firstLine="0"/>
        <w:contextualSpacing/>
        <w:rPr>
          <w:rFonts w:ascii="Calibri" w:hAnsi="Calibri" w:cs="Calibri"/>
          <w:sz w:val="24"/>
          <w:szCs w:val="24"/>
        </w:rPr>
      </w:pPr>
      <w:r w:rsidRPr="00CF0085">
        <w:rPr>
          <w:rFonts w:ascii="Calibri" w:hAnsi="Calibri" w:cs="Calibri"/>
          <w:sz w:val="24"/>
          <w:szCs w:val="24"/>
        </w:rPr>
        <w:t xml:space="preserve">Date: September </w:t>
      </w:r>
      <w:r w:rsidR="000B5A45" w:rsidRPr="00CF0085">
        <w:rPr>
          <w:rFonts w:ascii="Calibri" w:hAnsi="Calibri" w:cs="Calibri"/>
          <w:sz w:val="24"/>
          <w:szCs w:val="24"/>
        </w:rPr>
        <w:t>2</w:t>
      </w:r>
      <w:r w:rsidR="00CF0085" w:rsidRPr="00CF0085">
        <w:rPr>
          <w:rFonts w:ascii="Calibri" w:hAnsi="Calibri" w:cs="Calibri"/>
          <w:sz w:val="24"/>
          <w:szCs w:val="24"/>
        </w:rPr>
        <w:t>8</w:t>
      </w:r>
      <w:r w:rsidRPr="00CF0085">
        <w:rPr>
          <w:rFonts w:ascii="Calibri" w:hAnsi="Calibri" w:cs="Calibri"/>
          <w:sz w:val="24"/>
          <w:szCs w:val="24"/>
        </w:rPr>
        <w:t>, 2021</w:t>
      </w:r>
    </w:p>
    <w:p w14:paraId="3A7BA960" w14:textId="77777777" w:rsidR="007E2DF8" w:rsidRPr="00CF0085" w:rsidRDefault="007E2DF8" w:rsidP="004E0A55">
      <w:pPr>
        <w:spacing w:after="0" w:line="240" w:lineRule="auto"/>
        <w:contextualSpacing/>
        <w:rPr>
          <w:rFonts w:cs="Calibri"/>
          <w:sz w:val="24"/>
          <w:szCs w:val="24"/>
        </w:rPr>
      </w:pPr>
    </w:p>
    <w:p w14:paraId="351D94C1" w14:textId="423445DD" w:rsidR="007E2DF8" w:rsidRPr="00CF0085" w:rsidRDefault="007E2DF8" w:rsidP="00940A5C">
      <w:pPr>
        <w:spacing w:after="0" w:line="240" w:lineRule="auto"/>
        <w:contextualSpacing/>
        <w:rPr>
          <w:rFonts w:cs="Calibri"/>
          <w:sz w:val="24"/>
          <w:szCs w:val="24"/>
        </w:rPr>
      </w:pPr>
      <w:r w:rsidRPr="00CF0085">
        <w:rPr>
          <w:rFonts w:cs="Calibri"/>
          <w:sz w:val="24"/>
          <w:szCs w:val="24"/>
        </w:rPr>
        <w:t xml:space="preserve">To:  SDSU </w:t>
      </w:r>
      <w:r w:rsidR="0042717D">
        <w:rPr>
          <w:rFonts w:cs="Calibri"/>
          <w:sz w:val="24"/>
          <w:szCs w:val="24"/>
        </w:rPr>
        <w:t xml:space="preserve">Tenured and Tenure-Track </w:t>
      </w:r>
      <w:r w:rsidR="00F7106F">
        <w:rPr>
          <w:rFonts w:cs="Calibri"/>
          <w:sz w:val="24"/>
          <w:szCs w:val="24"/>
        </w:rPr>
        <w:t xml:space="preserve">(T/TT) </w:t>
      </w:r>
      <w:r w:rsidR="00D75C5B" w:rsidRPr="00CF0085">
        <w:rPr>
          <w:rFonts w:cs="Calibri"/>
          <w:sz w:val="24"/>
          <w:szCs w:val="24"/>
        </w:rPr>
        <w:t xml:space="preserve">Faculty </w:t>
      </w:r>
      <w:r w:rsidRPr="00CF0085">
        <w:rPr>
          <w:rFonts w:cs="Calibri"/>
          <w:sz w:val="24"/>
          <w:szCs w:val="24"/>
        </w:rPr>
        <w:t>Colleagues</w:t>
      </w:r>
      <w:r w:rsidR="00327963" w:rsidRPr="00CF0085">
        <w:rPr>
          <w:rFonts w:cs="Calibri"/>
          <w:sz w:val="24"/>
          <w:szCs w:val="24"/>
        </w:rPr>
        <w:t xml:space="preserve"> in </w:t>
      </w:r>
      <w:r w:rsidR="00F7106F">
        <w:rPr>
          <w:rFonts w:cs="Calibri"/>
          <w:sz w:val="24"/>
          <w:szCs w:val="24"/>
        </w:rPr>
        <w:t>the C</w:t>
      </w:r>
      <w:r w:rsidR="00937F18">
        <w:rPr>
          <w:rFonts w:cs="Calibri"/>
          <w:sz w:val="24"/>
          <w:szCs w:val="24"/>
        </w:rPr>
        <w:t>olleges of Arts &amp; Letters, Professional Studies and Fine Arts, Health and Human Services, Sciences, Engineering, and SDSU Imperial Valley</w:t>
      </w:r>
    </w:p>
    <w:p w14:paraId="3FCE8810" w14:textId="77777777" w:rsidR="004E0A55" w:rsidRDefault="004E0A55" w:rsidP="00940A5C">
      <w:pPr>
        <w:pStyle w:val="Heading1"/>
        <w:ind w:left="0" w:firstLine="0"/>
        <w:contextualSpacing/>
        <w:rPr>
          <w:rFonts w:ascii="Calibri" w:hAnsi="Calibri" w:cs="Calibri"/>
          <w:sz w:val="24"/>
          <w:szCs w:val="24"/>
        </w:rPr>
      </w:pPr>
    </w:p>
    <w:p w14:paraId="4AE07186" w14:textId="0D85D471" w:rsidR="007E2DF8" w:rsidRDefault="007E2DF8" w:rsidP="00940A5C">
      <w:pPr>
        <w:pStyle w:val="Heading1"/>
        <w:ind w:left="0" w:firstLine="0"/>
        <w:contextualSpacing/>
        <w:rPr>
          <w:rFonts w:ascii="Calibri" w:hAnsi="Calibri" w:cs="Calibri"/>
          <w:sz w:val="24"/>
          <w:szCs w:val="24"/>
        </w:rPr>
      </w:pPr>
      <w:r w:rsidRPr="00CF0085">
        <w:rPr>
          <w:rFonts w:ascii="Calibri" w:hAnsi="Calibri" w:cs="Calibri"/>
          <w:sz w:val="24"/>
          <w:szCs w:val="24"/>
        </w:rPr>
        <w:t xml:space="preserve">From: </w:t>
      </w:r>
      <w:r w:rsidR="00B42CEC">
        <w:rPr>
          <w:rFonts w:ascii="Calibri" w:hAnsi="Calibri" w:cs="Calibri"/>
          <w:sz w:val="24"/>
          <w:szCs w:val="24"/>
        </w:rPr>
        <w:tab/>
      </w:r>
      <w:r w:rsidRPr="00CF0085">
        <w:rPr>
          <w:rFonts w:ascii="Calibri" w:hAnsi="Calibri" w:cs="Calibri"/>
          <w:sz w:val="24"/>
          <w:szCs w:val="24"/>
        </w:rPr>
        <w:t>Mari Zúñiga &amp; Mark Reed (FUERTE MPIs)</w:t>
      </w:r>
    </w:p>
    <w:p w14:paraId="16673404" w14:textId="3A33773B" w:rsidR="00B42CEC" w:rsidRPr="00B42CEC" w:rsidRDefault="00B42CEC" w:rsidP="00940A5C">
      <w:pPr>
        <w:spacing w:after="0" w:line="240" w:lineRule="auto"/>
        <w:ind w:firstLine="720"/>
        <w:contextualSpacing/>
      </w:pPr>
      <w:r>
        <w:t xml:space="preserve">Contact information for Questions: </w:t>
      </w:r>
      <w:r w:rsidR="00940A5C">
        <w:tab/>
      </w:r>
      <w:r>
        <w:t xml:space="preserve">Mari Zúñiga </w:t>
      </w:r>
      <w:r w:rsidR="00940A5C">
        <w:t>(</w:t>
      </w:r>
      <w:r>
        <w:t>mlzuniga@sdsu.edu</w:t>
      </w:r>
      <w:r w:rsidR="00940A5C">
        <w:t>)</w:t>
      </w:r>
    </w:p>
    <w:p w14:paraId="1F70117A" w14:textId="66FF69C7" w:rsidR="006D2802" w:rsidRDefault="00940A5C" w:rsidP="00940A5C">
      <w:pPr>
        <w:pStyle w:val="Heading2"/>
        <w:ind w:left="0" w:firstLine="0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Mark Reed (</w:t>
      </w:r>
      <w:hyperlink r:id="rId5" w:history="1">
        <w:r w:rsidRPr="00D64419">
          <w:rPr>
            <w:rStyle w:val="Hyperlink"/>
            <w:rFonts w:ascii="Calibri" w:hAnsi="Calibri" w:cs="Calibri"/>
            <w:sz w:val="24"/>
            <w:szCs w:val="24"/>
          </w:rPr>
          <w:t>mreed@sdsu.edu</w:t>
        </w:r>
      </w:hyperlink>
      <w:r>
        <w:rPr>
          <w:rFonts w:ascii="Calibri" w:hAnsi="Calibri" w:cs="Calibri"/>
          <w:sz w:val="24"/>
          <w:szCs w:val="24"/>
        </w:rPr>
        <w:t>)</w:t>
      </w:r>
    </w:p>
    <w:p w14:paraId="5A2E8CA9" w14:textId="77777777" w:rsidR="00940A5C" w:rsidRPr="00940A5C" w:rsidRDefault="00940A5C" w:rsidP="00940A5C">
      <w:pPr>
        <w:spacing w:after="0" w:line="240" w:lineRule="auto"/>
        <w:contextualSpacing/>
      </w:pPr>
    </w:p>
    <w:p w14:paraId="6358B1D4" w14:textId="5CAB100B" w:rsidR="00B42CEC" w:rsidRDefault="006D2802" w:rsidP="00940A5C">
      <w:pPr>
        <w:spacing w:after="0" w:line="240" w:lineRule="auto"/>
        <w:ind w:left="720" w:hanging="720"/>
        <w:contextualSpacing/>
        <w:rPr>
          <w:sz w:val="24"/>
          <w:szCs w:val="24"/>
        </w:rPr>
      </w:pPr>
      <w:r w:rsidRPr="00CF0085">
        <w:rPr>
          <w:sz w:val="24"/>
          <w:szCs w:val="24"/>
        </w:rPr>
        <w:t>Re:</w:t>
      </w:r>
      <w:r w:rsidRPr="00CF0085">
        <w:rPr>
          <w:sz w:val="24"/>
          <w:szCs w:val="24"/>
        </w:rPr>
        <w:tab/>
      </w:r>
      <w:r w:rsidR="00B56855" w:rsidRPr="00B56855">
        <w:rPr>
          <w:sz w:val="24"/>
          <w:szCs w:val="24"/>
        </w:rPr>
        <w:t>Request for faculty self-nomination</w:t>
      </w:r>
      <w:r w:rsidR="00B56855">
        <w:rPr>
          <w:sz w:val="24"/>
          <w:szCs w:val="24"/>
        </w:rPr>
        <w:t>s</w:t>
      </w:r>
      <w:r w:rsidR="00B56855" w:rsidRPr="00B56855">
        <w:rPr>
          <w:sz w:val="24"/>
          <w:szCs w:val="24"/>
        </w:rPr>
        <w:t xml:space="preserve"> to establish pool of faculty willing to serve on one of three SDSU FUERTE Hiring </w:t>
      </w:r>
      <w:r w:rsidR="00937F18">
        <w:rPr>
          <w:sz w:val="24"/>
          <w:szCs w:val="24"/>
        </w:rPr>
        <w:t xml:space="preserve">committees </w:t>
      </w:r>
      <w:r w:rsidR="000B5A45" w:rsidRPr="00CF0085">
        <w:rPr>
          <w:sz w:val="24"/>
          <w:szCs w:val="24"/>
        </w:rPr>
        <w:t>(</w:t>
      </w:r>
      <w:r w:rsidR="002A0724">
        <w:rPr>
          <w:sz w:val="24"/>
          <w:szCs w:val="24"/>
        </w:rPr>
        <w:t xml:space="preserve">2 committees, Mesa campus &amp; one committee for </w:t>
      </w:r>
      <w:r w:rsidR="00B56855">
        <w:rPr>
          <w:sz w:val="24"/>
          <w:szCs w:val="24"/>
        </w:rPr>
        <w:t>Imperial Valley)</w:t>
      </w:r>
    </w:p>
    <w:p w14:paraId="646EAED9" w14:textId="048C6B18" w:rsidR="002A0724" w:rsidRDefault="002A0724" w:rsidP="004E0A55">
      <w:pPr>
        <w:spacing w:after="0" w:line="240" w:lineRule="auto"/>
        <w:ind w:left="720" w:hanging="72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*********************************</w:t>
      </w:r>
    </w:p>
    <w:p w14:paraId="27A96EB3" w14:textId="058F6F3A" w:rsidR="00B56855" w:rsidRPr="00B56855" w:rsidRDefault="00B56855" w:rsidP="004E0A55">
      <w:pPr>
        <w:shd w:val="clear" w:color="auto" w:fill="FFFFFF"/>
        <w:spacing w:after="0" w:line="240" w:lineRule="auto"/>
        <w:contextualSpacing/>
        <w:jc w:val="center"/>
        <w:rPr>
          <w:sz w:val="24"/>
          <w:szCs w:val="24"/>
        </w:rPr>
      </w:pPr>
      <w:proofErr w:type="spellStart"/>
      <w:r w:rsidRPr="004E0A55">
        <w:rPr>
          <w:sz w:val="24"/>
          <w:szCs w:val="24"/>
        </w:rPr>
        <w:t>Self nominations</w:t>
      </w:r>
      <w:proofErr w:type="spellEnd"/>
      <w:r w:rsidRPr="004E0A55">
        <w:rPr>
          <w:sz w:val="24"/>
          <w:szCs w:val="24"/>
        </w:rPr>
        <w:t xml:space="preserve"> or a </w:t>
      </w:r>
      <w:proofErr w:type="gramStart"/>
      <w:r w:rsidRPr="004E0A55">
        <w:rPr>
          <w:sz w:val="24"/>
          <w:szCs w:val="24"/>
        </w:rPr>
        <w:t>fellow faculty nominations</w:t>
      </w:r>
      <w:proofErr w:type="gramEnd"/>
      <w:r w:rsidRPr="004E0A55">
        <w:rPr>
          <w:sz w:val="24"/>
          <w:szCs w:val="24"/>
        </w:rPr>
        <w:t xml:space="preserve"> can be made through the Google link:</w:t>
      </w:r>
    </w:p>
    <w:p w14:paraId="5DB0D40A" w14:textId="77777777" w:rsidR="004E0A55" w:rsidRDefault="00940A5C" w:rsidP="004E0A55">
      <w:pPr>
        <w:shd w:val="clear" w:color="auto" w:fill="FFFFFF"/>
        <w:spacing w:after="0" w:line="240" w:lineRule="auto"/>
        <w:contextualSpacing/>
        <w:jc w:val="center"/>
        <w:rPr>
          <w:sz w:val="24"/>
          <w:szCs w:val="24"/>
        </w:rPr>
      </w:pPr>
      <w:hyperlink r:id="rId6" w:tgtFrame="_blank" w:history="1">
        <w:r w:rsidR="004E0A55" w:rsidRPr="00CF0085">
          <w:rPr>
            <w:rStyle w:val="Hyperlink"/>
            <w:rFonts w:ascii="Arial" w:hAnsi="Arial" w:cs="Arial"/>
            <w:color w:val="1155CC"/>
            <w:sz w:val="24"/>
            <w:szCs w:val="24"/>
            <w:shd w:val="clear" w:color="auto" w:fill="FFFFFF"/>
          </w:rPr>
          <w:t>https://forms.gle/2yEw2JGE2RNJLk496</w:t>
        </w:r>
      </w:hyperlink>
    </w:p>
    <w:p w14:paraId="3298244D" w14:textId="407EDB53" w:rsidR="00B56855" w:rsidRDefault="00B56855" w:rsidP="004E0A55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color w:val="222222"/>
          <w:sz w:val="24"/>
          <w:szCs w:val="24"/>
        </w:rPr>
      </w:pPr>
      <w:r w:rsidRPr="00B56855">
        <w:rPr>
          <w:rFonts w:ascii="Arial" w:hAnsi="Arial" w:cs="Arial"/>
          <w:color w:val="222222"/>
          <w:sz w:val="24"/>
          <w:szCs w:val="24"/>
        </w:rPr>
        <w:t>​</w:t>
      </w:r>
    </w:p>
    <w:p w14:paraId="2304ADE2" w14:textId="6A68F3FE" w:rsidR="00B56855" w:rsidRPr="00B56855" w:rsidRDefault="004E0A55" w:rsidP="004E0A55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color w:val="222222"/>
          <w:sz w:val="24"/>
          <w:szCs w:val="24"/>
        </w:rPr>
      </w:pPr>
      <w:r w:rsidRPr="00B56855">
        <w:rPr>
          <w:rFonts w:ascii="Arial" w:hAnsi="Arial" w:cs="Arial"/>
          <w:b/>
          <w:bCs/>
          <w:color w:val="990000"/>
          <w:sz w:val="24"/>
          <w:szCs w:val="24"/>
        </w:rPr>
        <w:t>Nominations</w:t>
      </w:r>
      <w:r w:rsidR="00B56855" w:rsidRPr="00B56855">
        <w:rPr>
          <w:rFonts w:ascii="Arial" w:hAnsi="Arial" w:cs="Arial"/>
          <w:b/>
          <w:bCs/>
          <w:color w:val="990000"/>
          <w:sz w:val="24"/>
          <w:szCs w:val="24"/>
        </w:rPr>
        <w:t xml:space="preserve"> will be accepted until October </w:t>
      </w:r>
      <w:r w:rsidR="00C97532">
        <w:rPr>
          <w:rFonts w:ascii="Arial" w:hAnsi="Arial" w:cs="Arial"/>
          <w:b/>
          <w:bCs/>
          <w:color w:val="990000"/>
          <w:sz w:val="24"/>
          <w:szCs w:val="24"/>
        </w:rPr>
        <w:t>8</w:t>
      </w:r>
      <w:r w:rsidR="00B56855" w:rsidRPr="00B56855">
        <w:rPr>
          <w:rFonts w:ascii="Arial" w:hAnsi="Arial" w:cs="Arial"/>
          <w:b/>
          <w:bCs/>
          <w:color w:val="990000"/>
          <w:sz w:val="24"/>
          <w:szCs w:val="24"/>
        </w:rPr>
        <w:t>, 2021</w:t>
      </w:r>
    </w:p>
    <w:p w14:paraId="75C00667" w14:textId="714696B7" w:rsidR="00B56855" w:rsidRDefault="00B56855" w:rsidP="004E0A55">
      <w:pPr>
        <w:spacing w:after="0" w:line="240" w:lineRule="auto"/>
        <w:ind w:left="720" w:hanging="72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********************************</w:t>
      </w:r>
    </w:p>
    <w:p w14:paraId="673590E8" w14:textId="0E376702" w:rsidR="000B5A45" w:rsidRPr="00CF0085" w:rsidRDefault="000B5A45" w:rsidP="004E0A55">
      <w:pPr>
        <w:spacing w:after="0" w:line="240" w:lineRule="auto"/>
        <w:ind w:left="720" w:hanging="720"/>
        <w:contextualSpacing/>
        <w:rPr>
          <w:b/>
          <w:bCs/>
          <w:sz w:val="24"/>
          <w:szCs w:val="24"/>
        </w:rPr>
      </w:pPr>
      <w:r w:rsidRPr="00CF0085">
        <w:rPr>
          <w:b/>
          <w:bCs/>
          <w:sz w:val="24"/>
          <w:szCs w:val="24"/>
        </w:rPr>
        <w:t>Overview</w:t>
      </w:r>
    </w:p>
    <w:p w14:paraId="1EE7C4DE" w14:textId="4115300E" w:rsidR="00273441" w:rsidRPr="00CF0085" w:rsidRDefault="00E076D9" w:rsidP="004E0A55">
      <w:pPr>
        <w:spacing w:after="0" w:line="240" w:lineRule="auto"/>
        <w:ind w:left="720" w:hanging="720"/>
        <w:contextualSpacing/>
        <w:rPr>
          <w:sz w:val="24"/>
          <w:szCs w:val="24"/>
        </w:rPr>
      </w:pPr>
      <w:proofErr w:type="gramStart"/>
      <w:r w:rsidRPr="00CF0085">
        <w:rPr>
          <w:sz w:val="24"/>
          <w:szCs w:val="24"/>
        </w:rPr>
        <w:t>In order to</w:t>
      </w:r>
      <w:proofErr w:type="gramEnd"/>
      <w:r w:rsidRPr="00CF0085">
        <w:rPr>
          <w:sz w:val="24"/>
          <w:szCs w:val="24"/>
        </w:rPr>
        <w:t xml:space="preserve"> achieve the 11-person cluster hire for Spring 2022</w:t>
      </w:r>
      <w:r w:rsidR="00007DE3" w:rsidRPr="00CF0085">
        <w:rPr>
          <w:sz w:val="24"/>
          <w:szCs w:val="24"/>
        </w:rPr>
        <w:t xml:space="preserve"> (details provided in attached FUERTE abstract document),</w:t>
      </w:r>
      <w:r w:rsidRPr="00CF0085">
        <w:rPr>
          <w:sz w:val="24"/>
          <w:szCs w:val="24"/>
        </w:rPr>
        <w:t xml:space="preserve"> w</w:t>
      </w:r>
      <w:r w:rsidR="00641B3D" w:rsidRPr="00CF0085">
        <w:rPr>
          <w:sz w:val="24"/>
          <w:szCs w:val="24"/>
        </w:rPr>
        <w:t xml:space="preserve">e are respectfully requesting </w:t>
      </w:r>
      <w:r w:rsidR="000B5A45" w:rsidRPr="00CF0085">
        <w:rPr>
          <w:sz w:val="24"/>
          <w:szCs w:val="24"/>
        </w:rPr>
        <w:t xml:space="preserve">support </w:t>
      </w:r>
      <w:r w:rsidR="009C4584" w:rsidRPr="00CF0085">
        <w:rPr>
          <w:sz w:val="24"/>
          <w:szCs w:val="24"/>
        </w:rPr>
        <w:t xml:space="preserve">from </w:t>
      </w:r>
      <w:r w:rsidR="0042717D">
        <w:rPr>
          <w:sz w:val="24"/>
          <w:szCs w:val="24"/>
        </w:rPr>
        <w:t xml:space="preserve">T/TT </w:t>
      </w:r>
      <w:r w:rsidR="009C4584" w:rsidRPr="00CF0085">
        <w:rPr>
          <w:sz w:val="24"/>
          <w:szCs w:val="24"/>
        </w:rPr>
        <w:t xml:space="preserve">college </w:t>
      </w:r>
      <w:r w:rsidR="009C4584" w:rsidRPr="00CF0085">
        <w:rPr>
          <w:sz w:val="24"/>
          <w:szCs w:val="24"/>
        </w:rPr>
        <w:t xml:space="preserve">faculty </w:t>
      </w:r>
      <w:r w:rsidR="000B5A45" w:rsidRPr="00CF0085">
        <w:rPr>
          <w:sz w:val="24"/>
          <w:szCs w:val="24"/>
        </w:rPr>
        <w:t>to</w:t>
      </w:r>
      <w:r w:rsidR="00641B3D" w:rsidRPr="00CF0085">
        <w:rPr>
          <w:sz w:val="24"/>
          <w:szCs w:val="24"/>
        </w:rPr>
        <w:t xml:space="preserve"> </w:t>
      </w:r>
      <w:r w:rsidR="002630B3" w:rsidRPr="00CF0085">
        <w:rPr>
          <w:sz w:val="24"/>
          <w:szCs w:val="24"/>
        </w:rPr>
        <w:t xml:space="preserve">establish </w:t>
      </w:r>
      <w:r w:rsidR="00327963" w:rsidRPr="00CF0085">
        <w:rPr>
          <w:sz w:val="24"/>
          <w:szCs w:val="24"/>
        </w:rPr>
        <w:t xml:space="preserve">and vote on </w:t>
      </w:r>
      <w:r w:rsidR="002630B3" w:rsidRPr="00CF0085">
        <w:rPr>
          <w:sz w:val="24"/>
          <w:szCs w:val="24"/>
        </w:rPr>
        <w:t xml:space="preserve">a pool of fellow faculty colleagues who would be willing to </w:t>
      </w:r>
      <w:r w:rsidR="002630B3" w:rsidRPr="00CF0085">
        <w:rPr>
          <w:b/>
          <w:bCs/>
          <w:sz w:val="24"/>
          <w:szCs w:val="24"/>
        </w:rPr>
        <w:t xml:space="preserve">serve on </w:t>
      </w:r>
      <w:r w:rsidRPr="00CF0085">
        <w:rPr>
          <w:b/>
          <w:bCs/>
          <w:sz w:val="24"/>
          <w:szCs w:val="24"/>
        </w:rPr>
        <w:t>one of three</w:t>
      </w:r>
      <w:r w:rsidR="000B5A45" w:rsidRPr="00CF0085">
        <w:rPr>
          <w:b/>
          <w:bCs/>
          <w:sz w:val="24"/>
          <w:szCs w:val="24"/>
        </w:rPr>
        <w:t xml:space="preserve"> SDSU FUERTE </w:t>
      </w:r>
      <w:r w:rsidR="002630B3" w:rsidRPr="00CF0085">
        <w:rPr>
          <w:b/>
          <w:bCs/>
          <w:sz w:val="24"/>
          <w:szCs w:val="24"/>
        </w:rPr>
        <w:t>H</w:t>
      </w:r>
      <w:r w:rsidR="000B5A45" w:rsidRPr="00CF0085">
        <w:rPr>
          <w:b/>
          <w:bCs/>
          <w:sz w:val="24"/>
          <w:szCs w:val="24"/>
        </w:rPr>
        <w:t xml:space="preserve">iring </w:t>
      </w:r>
      <w:r w:rsidR="002630B3" w:rsidRPr="00CF0085">
        <w:rPr>
          <w:b/>
          <w:bCs/>
          <w:sz w:val="24"/>
          <w:szCs w:val="24"/>
        </w:rPr>
        <w:t>C</w:t>
      </w:r>
      <w:r w:rsidR="000B5A45" w:rsidRPr="00CF0085">
        <w:rPr>
          <w:b/>
          <w:bCs/>
          <w:sz w:val="24"/>
          <w:szCs w:val="24"/>
        </w:rPr>
        <w:t>ommittee</w:t>
      </w:r>
      <w:r w:rsidRPr="00CF0085">
        <w:rPr>
          <w:b/>
          <w:bCs/>
          <w:sz w:val="24"/>
          <w:szCs w:val="24"/>
        </w:rPr>
        <w:t>s</w:t>
      </w:r>
      <w:r w:rsidR="00273441" w:rsidRPr="00CF0085">
        <w:rPr>
          <w:sz w:val="24"/>
          <w:szCs w:val="24"/>
        </w:rPr>
        <w:t xml:space="preserve"> corresponding with expertise in one of three Latinx health disparities focal areas:</w:t>
      </w:r>
    </w:p>
    <w:p w14:paraId="2965B58A" w14:textId="396EF072" w:rsidR="00273441" w:rsidRPr="00CF0085" w:rsidRDefault="00E076D9" w:rsidP="004E0A55">
      <w:pPr>
        <w:spacing w:after="0" w:line="240" w:lineRule="auto"/>
        <w:ind w:left="720"/>
        <w:contextualSpacing/>
        <w:rPr>
          <w:sz w:val="24"/>
          <w:szCs w:val="24"/>
        </w:rPr>
      </w:pPr>
      <w:r w:rsidRPr="00CF0085">
        <w:rPr>
          <w:sz w:val="24"/>
          <w:szCs w:val="24"/>
        </w:rPr>
        <w:t xml:space="preserve">Cancer Disparities, Obesity, Exercise and Nutrition, </w:t>
      </w:r>
      <w:r w:rsidR="00007DE3" w:rsidRPr="00CF0085">
        <w:rPr>
          <w:sz w:val="24"/>
          <w:szCs w:val="24"/>
        </w:rPr>
        <w:t>or</w:t>
      </w:r>
      <w:r w:rsidRPr="00CF0085">
        <w:rPr>
          <w:sz w:val="24"/>
          <w:szCs w:val="24"/>
        </w:rPr>
        <w:t xml:space="preserve"> Environmental Health </w:t>
      </w:r>
    </w:p>
    <w:p w14:paraId="05EF486F" w14:textId="77777777" w:rsidR="004E0A55" w:rsidRDefault="004E0A55" w:rsidP="004E0A55">
      <w:pPr>
        <w:spacing w:after="0" w:line="240" w:lineRule="auto"/>
        <w:ind w:left="720" w:hanging="720"/>
        <w:contextualSpacing/>
        <w:rPr>
          <w:b/>
          <w:sz w:val="24"/>
          <w:szCs w:val="24"/>
        </w:rPr>
      </w:pPr>
    </w:p>
    <w:p w14:paraId="2811D4C0" w14:textId="0F247D80" w:rsidR="00CF0085" w:rsidRPr="00CF0085" w:rsidRDefault="00CF0085" w:rsidP="004E0A55">
      <w:pPr>
        <w:spacing w:after="0" w:line="240" w:lineRule="auto"/>
        <w:ind w:left="720" w:hanging="720"/>
        <w:contextualSpacing/>
        <w:rPr>
          <w:sz w:val="24"/>
          <w:szCs w:val="24"/>
        </w:rPr>
      </w:pPr>
      <w:r w:rsidRPr="00CF0085">
        <w:rPr>
          <w:b/>
          <w:sz w:val="24"/>
          <w:szCs w:val="24"/>
        </w:rPr>
        <w:t>Link to nomination form for pool of potential Recruitment Committee Members</w:t>
      </w:r>
      <w:r w:rsidRPr="00CF0085">
        <w:rPr>
          <w:sz w:val="24"/>
          <w:szCs w:val="24"/>
        </w:rPr>
        <w:t xml:space="preserve"> </w:t>
      </w:r>
      <w:hyperlink r:id="rId7" w:tgtFrame="_blank" w:history="1">
        <w:r w:rsidRPr="00CF0085">
          <w:rPr>
            <w:rStyle w:val="Hyperlink"/>
            <w:rFonts w:ascii="Arial" w:hAnsi="Arial" w:cs="Arial"/>
            <w:color w:val="1155CC"/>
            <w:sz w:val="24"/>
            <w:szCs w:val="24"/>
            <w:shd w:val="clear" w:color="auto" w:fill="FFFFFF"/>
          </w:rPr>
          <w:t>https://forms.gle/2yEw2JGE2RNJLk496</w:t>
        </w:r>
      </w:hyperlink>
    </w:p>
    <w:p w14:paraId="563CECE1" w14:textId="77777777" w:rsidR="004E0A55" w:rsidRDefault="004E0A55" w:rsidP="004E0A55">
      <w:pPr>
        <w:spacing w:after="0" w:line="240" w:lineRule="auto"/>
        <w:ind w:left="720" w:hanging="720"/>
        <w:contextualSpacing/>
        <w:rPr>
          <w:b/>
          <w:sz w:val="24"/>
          <w:szCs w:val="24"/>
        </w:rPr>
      </w:pPr>
    </w:p>
    <w:p w14:paraId="37C6C898" w14:textId="47BA6EE4" w:rsidR="00007DE3" w:rsidRPr="00CF0085" w:rsidRDefault="00007DE3" w:rsidP="004E0A55">
      <w:pPr>
        <w:spacing w:after="0" w:line="240" w:lineRule="auto"/>
        <w:ind w:left="720" w:hanging="720"/>
        <w:contextualSpacing/>
        <w:rPr>
          <w:sz w:val="24"/>
          <w:szCs w:val="24"/>
        </w:rPr>
      </w:pPr>
      <w:r w:rsidRPr="00CF0085">
        <w:rPr>
          <w:b/>
          <w:sz w:val="24"/>
          <w:szCs w:val="24"/>
        </w:rPr>
        <w:t>Overview of nomination process</w:t>
      </w:r>
      <w:r w:rsidR="008530BE" w:rsidRPr="00CF0085">
        <w:rPr>
          <w:sz w:val="24"/>
          <w:szCs w:val="24"/>
        </w:rPr>
        <w:t xml:space="preserve"> (can be self or nomination of a colleague with their permission)</w:t>
      </w:r>
    </w:p>
    <w:p w14:paraId="42410BEF" w14:textId="7DBFCD4F" w:rsidR="00007DE3" w:rsidRPr="00CF0085" w:rsidRDefault="00007DE3" w:rsidP="004E0A55">
      <w:pPr>
        <w:spacing w:after="0" w:line="240" w:lineRule="auto"/>
        <w:ind w:left="720" w:hanging="720"/>
        <w:contextualSpacing/>
        <w:rPr>
          <w:sz w:val="24"/>
          <w:szCs w:val="24"/>
        </w:rPr>
      </w:pPr>
      <w:r w:rsidRPr="00CF0085">
        <w:rPr>
          <w:sz w:val="24"/>
          <w:szCs w:val="24"/>
        </w:rPr>
        <w:tab/>
        <w:t xml:space="preserve">We are asking </w:t>
      </w:r>
      <w:r w:rsidR="00F15652" w:rsidRPr="00CF0085">
        <w:rPr>
          <w:sz w:val="24"/>
          <w:szCs w:val="24"/>
        </w:rPr>
        <w:t xml:space="preserve">for college </w:t>
      </w:r>
      <w:r w:rsidRPr="00CF0085">
        <w:rPr>
          <w:sz w:val="24"/>
          <w:szCs w:val="24"/>
        </w:rPr>
        <w:t xml:space="preserve">support </w:t>
      </w:r>
      <w:r w:rsidR="00F15652" w:rsidRPr="00CF0085">
        <w:rPr>
          <w:sz w:val="24"/>
          <w:szCs w:val="24"/>
        </w:rPr>
        <w:t xml:space="preserve">in </w:t>
      </w:r>
      <w:r w:rsidRPr="00CF0085">
        <w:rPr>
          <w:sz w:val="24"/>
          <w:szCs w:val="24"/>
        </w:rPr>
        <w:t xml:space="preserve">the self-nomination of a diverse, qualified pool of up to 2-4 faculty from each college, including persons with requisite knowledge </w:t>
      </w:r>
      <w:r w:rsidR="00327963" w:rsidRPr="00CF0085">
        <w:rPr>
          <w:sz w:val="24"/>
          <w:szCs w:val="24"/>
        </w:rPr>
        <w:t xml:space="preserve">in any of the three FUERTE research areas (1. Environmental Health, 2. Obesity/Physical Activity/Nutrition Science, 3. Cancer Disparities) as well as Latinx health disparities and who would be willing to serve on the hiring committee. Faculty with an </w:t>
      </w:r>
      <w:r w:rsidRPr="00CF0085">
        <w:rPr>
          <w:sz w:val="24"/>
          <w:szCs w:val="24"/>
        </w:rPr>
        <w:t>understanding of what it takes to have a successful research trajectory with NIH/NSF/Federal agencies</w:t>
      </w:r>
      <w:r w:rsidR="00327963" w:rsidRPr="00CF0085">
        <w:rPr>
          <w:sz w:val="24"/>
          <w:szCs w:val="24"/>
        </w:rPr>
        <w:t xml:space="preserve"> are preferred</w:t>
      </w:r>
      <w:r w:rsidR="005C6D4D" w:rsidRPr="00CF0085">
        <w:rPr>
          <w:sz w:val="24"/>
          <w:szCs w:val="24"/>
        </w:rPr>
        <w:t xml:space="preserve">. </w:t>
      </w:r>
      <w:r w:rsidR="00781E53" w:rsidRPr="00CF0085">
        <w:rPr>
          <w:sz w:val="24"/>
          <w:szCs w:val="24"/>
        </w:rPr>
        <w:t xml:space="preserve"> Faculty currently serving on the SDSU FUERTE </w:t>
      </w:r>
      <w:r w:rsidR="00B42CEC">
        <w:rPr>
          <w:sz w:val="24"/>
          <w:szCs w:val="24"/>
        </w:rPr>
        <w:t>R</w:t>
      </w:r>
      <w:r w:rsidR="0042717D">
        <w:rPr>
          <w:sz w:val="24"/>
          <w:szCs w:val="24"/>
        </w:rPr>
        <w:t xml:space="preserve">ecruitment </w:t>
      </w:r>
      <w:r w:rsidR="00B42CEC">
        <w:rPr>
          <w:sz w:val="24"/>
          <w:szCs w:val="24"/>
        </w:rPr>
        <w:t>C</w:t>
      </w:r>
      <w:r w:rsidR="00781E53" w:rsidRPr="00CF0085">
        <w:rPr>
          <w:sz w:val="24"/>
          <w:szCs w:val="24"/>
        </w:rPr>
        <w:t xml:space="preserve">ommittee can also self-nominate for the hiring committees. </w:t>
      </w:r>
    </w:p>
    <w:p w14:paraId="2ABE8041" w14:textId="77777777" w:rsidR="004E0A55" w:rsidRDefault="004E0A55" w:rsidP="004E0A55">
      <w:pPr>
        <w:spacing w:after="0" w:line="240" w:lineRule="auto"/>
        <w:ind w:left="720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</w:p>
    <w:p w14:paraId="5A18F36C" w14:textId="7A585B96" w:rsidR="00781E53" w:rsidRPr="00CF0085" w:rsidRDefault="00781E53" w:rsidP="004E0A55">
      <w:pPr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 w:rsidRPr="00CF0085">
        <w:rPr>
          <w:rFonts w:asciiTheme="minorHAnsi" w:hAnsiTheme="minorHAnsi" w:cstheme="minorHAnsi"/>
          <w:color w:val="000000"/>
          <w:sz w:val="24"/>
          <w:szCs w:val="24"/>
        </w:rPr>
        <w:t xml:space="preserve">All hiring committee members will be required to attend the implicit bias training and the equity-minded hiring workshop sponsored by the SDSU Center for Inclusive Excellence (CIE) and read the article: </w:t>
      </w:r>
      <w:r w:rsidRPr="00CF0085">
        <w:rPr>
          <w:rFonts w:asciiTheme="minorHAnsi" w:hAnsiTheme="minorHAnsi" w:cstheme="minorHAnsi"/>
          <w:i/>
          <w:iCs/>
          <w:color w:val="000000"/>
          <w:sz w:val="24"/>
          <w:szCs w:val="24"/>
        </w:rPr>
        <w:t>“We Are All for Diversity, but . . .”: How Faculty Hiring Committees Reproduce Whiteness and Practical Suggestions for How They Can Change</w:t>
      </w:r>
      <w:r w:rsidRPr="00CF0085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proofErr w:type="spellStart"/>
      <w:r w:rsidRPr="00CF0085">
        <w:rPr>
          <w:rFonts w:asciiTheme="minorHAnsi" w:hAnsiTheme="minorHAnsi" w:cstheme="minorHAnsi"/>
          <w:color w:val="000000"/>
          <w:sz w:val="24"/>
          <w:szCs w:val="24"/>
        </w:rPr>
        <w:t>Sensoy</w:t>
      </w:r>
      <w:proofErr w:type="spellEnd"/>
      <w:r w:rsidRPr="00CF0085">
        <w:rPr>
          <w:rFonts w:asciiTheme="minorHAnsi" w:hAnsiTheme="minorHAnsi" w:cstheme="minorHAnsi"/>
          <w:color w:val="000000"/>
          <w:sz w:val="24"/>
          <w:szCs w:val="24"/>
        </w:rPr>
        <w:t xml:space="preserve"> and </w:t>
      </w:r>
      <w:proofErr w:type="spellStart"/>
      <w:r w:rsidRPr="00CF0085">
        <w:rPr>
          <w:rFonts w:asciiTheme="minorHAnsi" w:hAnsiTheme="minorHAnsi" w:cstheme="minorHAnsi"/>
          <w:color w:val="000000"/>
          <w:sz w:val="24"/>
          <w:szCs w:val="24"/>
        </w:rPr>
        <w:t>DiAngelo</w:t>
      </w:r>
      <w:proofErr w:type="spellEnd"/>
      <w:r w:rsidRPr="00CF0085">
        <w:rPr>
          <w:rFonts w:asciiTheme="minorHAnsi" w:hAnsiTheme="minorHAnsi" w:cstheme="minorHAnsi"/>
          <w:color w:val="000000"/>
          <w:sz w:val="24"/>
          <w:szCs w:val="24"/>
        </w:rPr>
        <w:t>, 2017). </w:t>
      </w:r>
    </w:p>
    <w:p w14:paraId="003FD548" w14:textId="77777777" w:rsidR="004E0A55" w:rsidRDefault="004E0A55" w:rsidP="004E0A55">
      <w:pPr>
        <w:spacing w:after="0" w:line="240" w:lineRule="auto"/>
        <w:ind w:left="720"/>
        <w:contextualSpacing/>
        <w:rPr>
          <w:sz w:val="24"/>
          <w:szCs w:val="24"/>
        </w:rPr>
      </w:pPr>
    </w:p>
    <w:p w14:paraId="26FE805E" w14:textId="4C550AD2" w:rsidR="00B42CEC" w:rsidRDefault="00B42CEC" w:rsidP="004E0A55">
      <w:pPr>
        <w:spacing w:after="0" w:line="240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Once the nominee pool is formed, Tenure/Tenure Track faculty will vote on pool membership for their respective College. (estimated vote date by October 15</w:t>
      </w:r>
      <w:r w:rsidRPr="00B42CE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</w:t>
      </w:r>
    </w:p>
    <w:p w14:paraId="47773626" w14:textId="77777777" w:rsidR="00B42CEC" w:rsidRDefault="00B42CEC" w:rsidP="004E0A55">
      <w:pPr>
        <w:spacing w:after="0" w:line="240" w:lineRule="auto"/>
        <w:ind w:left="720"/>
        <w:contextualSpacing/>
        <w:rPr>
          <w:sz w:val="24"/>
          <w:szCs w:val="24"/>
        </w:rPr>
      </w:pPr>
    </w:p>
    <w:p w14:paraId="285A1087" w14:textId="19B05FB9" w:rsidR="00781E53" w:rsidRPr="00CF0085" w:rsidRDefault="00B42CEC" w:rsidP="00B42CEC">
      <w:pPr>
        <w:spacing w:after="0" w:line="240" w:lineRule="auto"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Final selection of the FUERTE Hiring Committee </w:t>
      </w:r>
      <w:r w:rsidR="00781E53" w:rsidRPr="00CF0085">
        <w:rPr>
          <w:sz w:val="24"/>
          <w:szCs w:val="24"/>
        </w:rPr>
        <w:t xml:space="preserve">will </w:t>
      </w:r>
      <w:r>
        <w:rPr>
          <w:sz w:val="24"/>
          <w:szCs w:val="24"/>
        </w:rPr>
        <w:t xml:space="preserve">occur in </w:t>
      </w:r>
      <w:r w:rsidR="00781E53" w:rsidRPr="00CF0085">
        <w:rPr>
          <w:sz w:val="24"/>
          <w:szCs w:val="24"/>
        </w:rPr>
        <w:t>in consultation with College Deans</w:t>
      </w:r>
      <w:r>
        <w:rPr>
          <w:sz w:val="24"/>
          <w:szCs w:val="24"/>
        </w:rPr>
        <w:t xml:space="preserve">, </w:t>
      </w:r>
      <w:r w:rsidR="00781E53" w:rsidRPr="00CF0085">
        <w:rPr>
          <w:sz w:val="24"/>
          <w:szCs w:val="24"/>
        </w:rPr>
        <w:t>the FUERTE Recruitment Committee members</w:t>
      </w:r>
      <w:r>
        <w:rPr>
          <w:sz w:val="24"/>
          <w:szCs w:val="24"/>
        </w:rPr>
        <w:t>, and FUERTE leadership.</w:t>
      </w:r>
    </w:p>
    <w:p w14:paraId="1B65C0DD" w14:textId="77777777" w:rsidR="00CF0085" w:rsidRDefault="00CF0085" w:rsidP="004E0A55">
      <w:pPr>
        <w:spacing w:after="0" w:line="240" w:lineRule="auto"/>
        <w:contextualSpacing/>
        <w:rPr>
          <w:b/>
          <w:bCs/>
          <w:color w:val="C45911"/>
          <w:sz w:val="24"/>
          <w:szCs w:val="24"/>
        </w:rPr>
      </w:pPr>
    </w:p>
    <w:p w14:paraId="7B910899" w14:textId="6BBF0D15" w:rsidR="002630B3" w:rsidRPr="00CF0085" w:rsidRDefault="00007DE3" w:rsidP="004E0A55">
      <w:pPr>
        <w:spacing w:after="0" w:line="240" w:lineRule="auto"/>
        <w:contextualSpacing/>
        <w:rPr>
          <w:b/>
          <w:sz w:val="24"/>
          <w:szCs w:val="24"/>
        </w:rPr>
      </w:pPr>
      <w:r w:rsidRPr="00CF0085">
        <w:rPr>
          <w:b/>
          <w:sz w:val="24"/>
          <w:szCs w:val="24"/>
        </w:rPr>
        <w:lastRenderedPageBreak/>
        <w:t>Timing</w:t>
      </w:r>
      <w:r w:rsidR="008530BE" w:rsidRPr="00CF0085">
        <w:rPr>
          <w:b/>
          <w:sz w:val="24"/>
          <w:szCs w:val="24"/>
        </w:rPr>
        <w:t xml:space="preserve"> for Hiring Process</w:t>
      </w:r>
      <w:r w:rsidRPr="00CF0085">
        <w:rPr>
          <w:b/>
          <w:sz w:val="24"/>
          <w:szCs w:val="24"/>
        </w:rPr>
        <w:t xml:space="preserve"> &amp; </w:t>
      </w:r>
      <w:r w:rsidR="008530BE" w:rsidRPr="00CF0085">
        <w:rPr>
          <w:b/>
          <w:sz w:val="24"/>
          <w:szCs w:val="24"/>
        </w:rPr>
        <w:t xml:space="preserve">Committee </w:t>
      </w:r>
      <w:r w:rsidR="002630B3" w:rsidRPr="00CF0085">
        <w:rPr>
          <w:b/>
          <w:sz w:val="24"/>
          <w:szCs w:val="24"/>
        </w:rPr>
        <w:t>Responsibilities</w:t>
      </w:r>
    </w:p>
    <w:p w14:paraId="43E4C7CA" w14:textId="3D16EBC1" w:rsidR="00273441" w:rsidRPr="00CF0085" w:rsidRDefault="00273441" w:rsidP="004E0A55">
      <w:pPr>
        <w:spacing w:after="0" w:line="240" w:lineRule="auto"/>
        <w:ind w:left="720"/>
        <w:contextualSpacing/>
        <w:rPr>
          <w:sz w:val="24"/>
          <w:szCs w:val="24"/>
        </w:rPr>
      </w:pPr>
      <w:r w:rsidRPr="00CF0085">
        <w:rPr>
          <w:sz w:val="24"/>
          <w:szCs w:val="24"/>
        </w:rPr>
        <w:t>Starting in mid-December 2021, m</w:t>
      </w:r>
      <w:r w:rsidR="002630B3" w:rsidRPr="00CF0085">
        <w:rPr>
          <w:sz w:val="24"/>
          <w:szCs w:val="24"/>
        </w:rPr>
        <w:t>embers of Hiring Committee will be</w:t>
      </w:r>
      <w:r w:rsidRPr="00CF0085">
        <w:rPr>
          <w:sz w:val="24"/>
          <w:szCs w:val="24"/>
        </w:rPr>
        <w:t xml:space="preserve"> asked to screen and select the cluster applicant pool for each of the three health disparities focal areas. </w:t>
      </w:r>
    </w:p>
    <w:p w14:paraId="4D79AFFE" w14:textId="7953B355" w:rsidR="00273441" w:rsidRPr="00CF0085" w:rsidRDefault="00273441" w:rsidP="00FB0B31">
      <w:pPr>
        <w:spacing w:after="0" w:line="240" w:lineRule="auto"/>
        <w:ind w:left="720"/>
        <w:contextualSpacing/>
        <w:rPr>
          <w:sz w:val="24"/>
          <w:szCs w:val="24"/>
        </w:rPr>
      </w:pPr>
      <w:r w:rsidRPr="00CF0085">
        <w:rPr>
          <w:sz w:val="24"/>
          <w:szCs w:val="24"/>
        </w:rPr>
        <w:t>Once the applicant pools have been established, initial screening interviews will be undertaken</w:t>
      </w:r>
      <w:r w:rsidR="00FB0B31">
        <w:rPr>
          <w:sz w:val="24"/>
          <w:szCs w:val="24"/>
        </w:rPr>
        <w:t xml:space="preserve"> (January 2022)</w:t>
      </w:r>
      <w:r w:rsidRPr="00CF0085">
        <w:rPr>
          <w:sz w:val="24"/>
          <w:szCs w:val="24"/>
        </w:rPr>
        <w:t xml:space="preserve">. In-person interviews will be </w:t>
      </w:r>
      <w:r w:rsidR="00FB0B31">
        <w:rPr>
          <w:sz w:val="24"/>
          <w:szCs w:val="24"/>
        </w:rPr>
        <w:t>conducted in February-</w:t>
      </w:r>
      <w:proofErr w:type="gramStart"/>
      <w:r w:rsidR="00FB0B31">
        <w:rPr>
          <w:sz w:val="24"/>
          <w:szCs w:val="24"/>
        </w:rPr>
        <w:t>March,</w:t>
      </w:r>
      <w:proofErr w:type="gramEnd"/>
      <w:r w:rsidR="00FB0B31">
        <w:rPr>
          <w:sz w:val="24"/>
          <w:szCs w:val="24"/>
        </w:rPr>
        <w:t xml:space="preserve"> 2022 to allow </w:t>
      </w:r>
      <w:r w:rsidRPr="00CF0085">
        <w:rPr>
          <w:sz w:val="24"/>
          <w:szCs w:val="24"/>
        </w:rPr>
        <w:t xml:space="preserve">for </w:t>
      </w:r>
      <w:r w:rsidR="00FB0B31">
        <w:rPr>
          <w:sz w:val="24"/>
          <w:szCs w:val="24"/>
        </w:rPr>
        <w:t xml:space="preserve">the </w:t>
      </w:r>
      <w:r w:rsidRPr="00CF0085">
        <w:rPr>
          <w:sz w:val="24"/>
          <w:szCs w:val="24"/>
        </w:rPr>
        <w:t>timely offer of positions.</w:t>
      </w:r>
    </w:p>
    <w:p w14:paraId="55C05BDE" w14:textId="77777777" w:rsidR="004E0A55" w:rsidRDefault="004E0A55" w:rsidP="004E0A55">
      <w:pPr>
        <w:spacing w:after="0" w:line="240" w:lineRule="auto"/>
        <w:ind w:left="720" w:hanging="720"/>
        <w:contextualSpacing/>
        <w:rPr>
          <w:b/>
          <w:sz w:val="24"/>
          <w:szCs w:val="24"/>
        </w:rPr>
      </w:pPr>
    </w:p>
    <w:p w14:paraId="2960ED69" w14:textId="33476A28" w:rsidR="00007DE3" w:rsidRPr="004E0A55" w:rsidRDefault="00007DE3" w:rsidP="004E0A55">
      <w:pPr>
        <w:spacing w:after="0" w:line="240" w:lineRule="auto"/>
        <w:ind w:left="720" w:hanging="720"/>
        <w:contextualSpacing/>
        <w:rPr>
          <w:b/>
          <w:sz w:val="24"/>
          <w:szCs w:val="24"/>
        </w:rPr>
      </w:pPr>
      <w:r w:rsidRPr="004E0A55">
        <w:rPr>
          <w:b/>
          <w:sz w:val="24"/>
          <w:szCs w:val="24"/>
        </w:rPr>
        <w:t>Compensation</w:t>
      </w:r>
    </w:p>
    <w:p w14:paraId="0F1C89DF" w14:textId="689B4F0A" w:rsidR="00007DE3" w:rsidRPr="00CF0085" w:rsidRDefault="00007DE3" w:rsidP="004E0A55">
      <w:pPr>
        <w:spacing w:after="0" w:line="240" w:lineRule="auto"/>
        <w:ind w:left="720"/>
        <w:contextualSpacing/>
        <w:rPr>
          <w:sz w:val="24"/>
          <w:szCs w:val="24"/>
        </w:rPr>
      </w:pPr>
      <w:r w:rsidRPr="00CF0085">
        <w:rPr>
          <w:sz w:val="24"/>
          <w:szCs w:val="24"/>
        </w:rPr>
        <w:t>Recognizing that the Hiring Committee will be asked to serve above and beyond their current service responsibilities and during the December/January</w:t>
      </w:r>
      <w:r w:rsidR="00FB0B31">
        <w:rPr>
          <w:sz w:val="24"/>
          <w:szCs w:val="24"/>
        </w:rPr>
        <w:t xml:space="preserve"> break</w:t>
      </w:r>
      <w:r w:rsidRPr="00CF0085">
        <w:rPr>
          <w:sz w:val="24"/>
          <w:szCs w:val="24"/>
        </w:rPr>
        <w:t xml:space="preserve"> period, they will be offered $1,000 as </w:t>
      </w:r>
      <w:r w:rsidR="0063479A" w:rsidRPr="00CF0085">
        <w:rPr>
          <w:sz w:val="24"/>
          <w:szCs w:val="24"/>
        </w:rPr>
        <w:t>compensation</w:t>
      </w:r>
      <w:r w:rsidRPr="00CF0085">
        <w:rPr>
          <w:sz w:val="24"/>
          <w:szCs w:val="24"/>
        </w:rPr>
        <w:t xml:space="preserve"> for their time.</w:t>
      </w:r>
    </w:p>
    <w:p w14:paraId="11F4EA48" w14:textId="77777777" w:rsidR="004E0A55" w:rsidRDefault="004E0A55" w:rsidP="004E0A55">
      <w:pPr>
        <w:pStyle w:val="Heading1"/>
        <w:ind w:left="0" w:firstLine="0"/>
        <w:contextualSpacing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5D20D651" w14:textId="4F913D99" w:rsidR="00D564E6" w:rsidRPr="00CF0085" w:rsidRDefault="00CF0085" w:rsidP="004E0A55">
      <w:pPr>
        <w:pStyle w:val="Heading1"/>
        <w:ind w:left="0" w:firstLine="0"/>
        <w:contextualSpacing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For Reference </w:t>
      </w:r>
      <w:r w:rsidR="000B5A45" w:rsidRPr="00CF0085">
        <w:rPr>
          <w:rFonts w:ascii="Calibri" w:hAnsi="Calibri" w:cs="Calibri"/>
          <w:b/>
          <w:bCs/>
          <w:sz w:val="24"/>
          <w:szCs w:val="24"/>
          <w:u w:val="single"/>
        </w:rPr>
        <w:t>Hiring Committee</w:t>
      </w:r>
      <w:r w:rsidR="0063479A" w:rsidRPr="00CF0085">
        <w:rPr>
          <w:rFonts w:ascii="Calibri" w:hAnsi="Calibri" w:cs="Calibri"/>
          <w:b/>
          <w:bCs/>
          <w:sz w:val="24"/>
          <w:szCs w:val="24"/>
          <w:u w:val="single"/>
        </w:rPr>
        <w:t>s Composition</w:t>
      </w:r>
    </w:p>
    <w:p w14:paraId="64E0E1B7" w14:textId="77777777" w:rsidR="0017556E" w:rsidRPr="00CF0085" w:rsidRDefault="0017556E" w:rsidP="004E0A55">
      <w:pPr>
        <w:pStyle w:val="Heading3"/>
        <w:ind w:left="720" w:firstLine="0"/>
        <w:contextualSpacing/>
        <w:rPr>
          <w:rFonts w:ascii="Calibri" w:hAnsi="Calibri" w:cs="Calibri"/>
          <w:sz w:val="24"/>
          <w:szCs w:val="24"/>
        </w:rPr>
      </w:pPr>
    </w:p>
    <w:tbl>
      <w:tblPr>
        <w:tblW w:w="1022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3"/>
        <w:gridCol w:w="8159"/>
        <w:gridCol w:w="1741"/>
      </w:tblGrid>
      <w:tr w:rsidR="00273441" w:rsidRPr="00CF0085" w14:paraId="77CCF305" w14:textId="77777777" w:rsidTr="00CD0077">
        <w:trPr>
          <w:trHeight w:val="707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75" w:type="dxa"/>
              <w:left w:w="53" w:type="dxa"/>
              <w:bottom w:w="75" w:type="dxa"/>
              <w:right w:w="53" w:type="dxa"/>
            </w:tcMar>
            <w:hideMark/>
          </w:tcPr>
          <w:p w14:paraId="1D06BFF9" w14:textId="77777777" w:rsidR="0017556E" w:rsidRPr="00CF0085" w:rsidRDefault="0017556E" w:rsidP="004E0A55">
            <w:pPr>
              <w:spacing w:after="0" w:line="240" w:lineRule="auto"/>
              <w:contextualSpacing/>
              <w:textAlignment w:val="top"/>
              <w:rPr>
                <w:rFonts w:cs="Calibri"/>
                <w:kern w:val="24"/>
                <w:sz w:val="24"/>
                <w:szCs w:val="24"/>
              </w:rPr>
            </w:pPr>
            <w:r w:rsidRPr="00CF0085">
              <w:rPr>
                <w:rFonts w:cs="Calibri"/>
                <w:kern w:val="24"/>
                <w:sz w:val="24"/>
                <w:szCs w:val="24"/>
              </w:rPr>
              <w:t> </w:t>
            </w:r>
          </w:p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75" w:type="dxa"/>
              <w:left w:w="53" w:type="dxa"/>
              <w:bottom w:w="75" w:type="dxa"/>
              <w:right w:w="53" w:type="dxa"/>
            </w:tcMar>
            <w:hideMark/>
          </w:tcPr>
          <w:p w14:paraId="6C35F897" w14:textId="091899AB" w:rsidR="0063479A" w:rsidRPr="00CF0085" w:rsidRDefault="0063479A" w:rsidP="004E0A55">
            <w:pPr>
              <w:pStyle w:val="Heading3"/>
              <w:ind w:left="133" w:firstLine="0"/>
              <w:contextualSpacing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F008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One Hiring Committee Composition: </w:t>
            </w:r>
            <w:r w:rsidR="0017556E" w:rsidRPr="00CF0085">
              <w:rPr>
                <w:rFonts w:ascii="Calibri" w:hAnsi="Calibri" w:cs="Calibri"/>
                <w:b/>
                <w:bCs/>
                <w:sz w:val="24"/>
                <w:szCs w:val="24"/>
              </w:rPr>
              <w:t>Environmental Health Committee</w:t>
            </w:r>
          </w:p>
          <w:p w14:paraId="2EEEB291" w14:textId="0FCBF929" w:rsidR="0017556E" w:rsidRPr="00CF0085" w:rsidRDefault="0063479A" w:rsidP="004E0A55">
            <w:pPr>
              <w:pStyle w:val="Heading3"/>
              <w:ind w:left="133" w:firstLine="0"/>
              <w:contextualSpacing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F0085">
              <w:rPr>
                <w:rFonts w:ascii="Calibri" w:hAnsi="Calibri" w:cs="Calibri"/>
                <w:b/>
                <w:bCs/>
                <w:sz w:val="24"/>
                <w:szCs w:val="24"/>
              </w:rPr>
              <w:t>(Imperial Valley)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75" w:type="dxa"/>
              <w:left w:w="53" w:type="dxa"/>
              <w:bottom w:w="75" w:type="dxa"/>
              <w:right w:w="53" w:type="dxa"/>
            </w:tcMar>
            <w:hideMark/>
          </w:tcPr>
          <w:p w14:paraId="16453347" w14:textId="77777777" w:rsidR="0017556E" w:rsidRPr="00CF0085" w:rsidRDefault="0017556E" w:rsidP="004E0A55">
            <w:pPr>
              <w:spacing w:after="0" w:line="240" w:lineRule="auto"/>
              <w:contextualSpacing/>
              <w:textAlignment w:val="top"/>
              <w:rPr>
                <w:rFonts w:cs="Calibri"/>
                <w:kern w:val="24"/>
                <w:sz w:val="24"/>
                <w:szCs w:val="24"/>
              </w:rPr>
            </w:pPr>
            <w:r w:rsidRPr="00CF0085">
              <w:rPr>
                <w:rFonts w:cs="Calibri"/>
                <w:kern w:val="24"/>
                <w:sz w:val="24"/>
                <w:szCs w:val="24"/>
              </w:rPr>
              <w:t>Voting/  Advisory Status</w:t>
            </w:r>
          </w:p>
        </w:tc>
      </w:tr>
      <w:tr w:rsidR="00CD0077" w:rsidRPr="00CF0085" w14:paraId="5972FB22" w14:textId="77777777" w:rsidTr="00E076D9">
        <w:trPr>
          <w:trHeight w:val="293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53" w:type="dxa"/>
              <w:bottom w:w="75" w:type="dxa"/>
              <w:right w:w="53" w:type="dxa"/>
            </w:tcMar>
            <w:hideMark/>
          </w:tcPr>
          <w:p w14:paraId="0C940AEB" w14:textId="77777777" w:rsidR="0017556E" w:rsidRPr="00CF0085" w:rsidRDefault="0017556E" w:rsidP="004E0A55">
            <w:pPr>
              <w:spacing w:after="0" w:line="240" w:lineRule="auto"/>
              <w:contextualSpacing/>
              <w:textAlignment w:val="top"/>
              <w:rPr>
                <w:rFonts w:cs="Calibri"/>
                <w:kern w:val="24"/>
                <w:sz w:val="24"/>
                <w:szCs w:val="24"/>
              </w:rPr>
            </w:pPr>
            <w:r w:rsidRPr="00CF0085">
              <w:rPr>
                <w:rFonts w:cs="Calibri"/>
                <w:kern w:val="24"/>
                <w:sz w:val="24"/>
                <w:szCs w:val="24"/>
              </w:rPr>
              <w:t>1.</w:t>
            </w:r>
          </w:p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53" w:type="dxa"/>
              <w:bottom w:w="75" w:type="dxa"/>
              <w:right w:w="53" w:type="dxa"/>
            </w:tcMar>
            <w:hideMark/>
          </w:tcPr>
          <w:p w14:paraId="267395D7" w14:textId="2B19C22E" w:rsidR="0017556E" w:rsidRPr="00CF0085" w:rsidRDefault="0017556E" w:rsidP="004E0A55">
            <w:pPr>
              <w:pStyle w:val="Heading3"/>
              <w:ind w:left="133" w:firstLine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0085">
              <w:rPr>
                <w:rFonts w:ascii="Calibri" w:hAnsi="Calibri" w:cs="Calibri"/>
                <w:sz w:val="24"/>
                <w:szCs w:val="24"/>
              </w:rPr>
              <w:t>Four T/TT faculty members (at least 2 from SDSU IV)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53" w:type="dxa"/>
              <w:bottom w:w="75" w:type="dxa"/>
              <w:right w:w="53" w:type="dxa"/>
            </w:tcMar>
            <w:hideMark/>
          </w:tcPr>
          <w:p w14:paraId="3B4822FC" w14:textId="77777777" w:rsidR="0017556E" w:rsidRPr="00CF0085" w:rsidRDefault="0017556E" w:rsidP="004E0A55">
            <w:pPr>
              <w:spacing w:after="0" w:line="240" w:lineRule="auto"/>
              <w:contextualSpacing/>
              <w:jc w:val="center"/>
              <w:textAlignment w:val="top"/>
              <w:rPr>
                <w:rFonts w:cs="Calibri"/>
                <w:kern w:val="24"/>
                <w:sz w:val="24"/>
                <w:szCs w:val="24"/>
              </w:rPr>
            </w:pPr>
            <w:r w:rsidRPr="00CF0085">
              <w:rPr>
                <w:rFonts w:cs="Calibri"/>
                <w:kern w:val="24"/>
                <w:sz w:val="24"/>
                <w:szCs w:val="24"/>
              </w:rPr>
              <w:t>Voting</w:t>
            </w:r>
          </w:p>
        </w:tc>
      </w:tr>
      <w:tr w:rsidR="00CD0077" w:rsidRPr="00CF0085" w14:paraId="1A032C20" w14:textId="77777777" w:rsidTr="0063479A">
        <w:trPr>
          <w:trHeight w:val="383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53" w:type="dxa"/>
              <w:bottom w:w="75" w:type="dxa"/>
              <w:right w:w="53" w:type="dxa"/>
            </w:tcMar>
            <w:hideMark/>
          </w:tcPr>
          <w:p w14:paraId="2B191C2C" w14:textId="77777777" w:rsidR="0017556E" w:rsidRPr="00CF0085" w:rsidRDefault="0017556E" w:rsidP="004E0A55">
            <w:pPr>
              <w:spacing w:after="0" w:line="240" w:lineRule="auto"/>
              <w:contextualSpacing/>
              <w:textAlignment w:val="top"/>
              <w:rPr>
                <w:rFonts w:cs="Calibri"/>
                <w:kern w:val="24"/>
                <w:sz w:val="24"/>
                <w:szCs w:val="24"/>
              </w:rPr>
            </w:pPr>
            <w:r w:rsidRPr="00CF0085">
              <w:rPr>
                <w:rFonts w:cs="Calibri"/>
                <w:kern w:val="24"/>
                <w:sz w:val="24"/>
                <w:szCs w:val="24"/>
              </w:rPr>
              <w:t>2.</w:t>
            </w:r>
          </w:p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53" w:type="dxa"/>
              <w:bottom w:w="75" w:type="dxa"/>
              <w:right w:w="53" w:type="dxa"/>
            </w:tcMar>
            <w:hideMark/>
          </w:tcPr>
          <w:p w14:paraId="7D5A8F22" w14:textId="41A0393E" w:rsidR="0017556E" w:rsidRPr="00CF0085" w:rsidRDefault="0017556E" w:rsidP="004E0A55">
            <w:pPr>
              <w:pStyle w:val="Heading3"/>
              <w:ind w:left="133" w:firstLine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0085">
              <w:rPr>
                <w:rFonts w:ascii="Calibri" w:hAnsi="Calibri" w:cs="Calibri"/>
                <w:sz w:val="24"/>
                <w:szCs w:val="24"/>
              </w:rPr>
              <w:t>One of the Core FUERTE leaders (</w:t>
            </w:r>
            <w:proofErr w:type="spellStart"/>
            <w:r w:rsidRPr="00CF0085">
              <w:rPr>
                <w:rFonts w:ascii="Calibri" w:hAnsi="Calibri" w:cs="Calibri"/>
                <w:sz w:val="24"/>
                <w:szCs w:val="24"/>
              </w:rPr>
              <w:t>Pitpitan</w:t>
            </w:r>
            <w:proofErr w:type="spellEnd"/>
            <w:r w:rsidRPr="00CF0085">
              <w:rPr>
                <w:rFonts w:ascii="Calibri" w:hAnsi="Calibri" w:cs="Calibri"/>
                <w:sz w:val="24"/>
                <w:szCs w:val="24"/>
              </w:rPr>
              <w:t>, Reed or Zúñiga)</w:t>
            </w:r>
            <w:r w:rsidR="00641B3D" w:rsidRPr="00CF0085">
              <w:rPr>
                <w:rFonts w:ascii="Calibri" w:hAnsi="Calibri" w:cs="Calibri"/>
                <w:sz w:val="24"/>
                <w:szCs w:val="24"/>
              </w:rPr>
              <w:t>*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53" w:type="dxa"/>
              <w:bottom w:w="75" w:type="dxa"/>
              <w:right w:w="53" w:type="dxa"/>
            </w:tcMar>
            <w:hideMark/>
          </w:tcPr>
          <w:p w14:paraId="163212AD" w14:textId="77777777" w:rsidR="0017556E" w:rsidRPr="00CF0085" w:rsidRDefault="0017556E" w:rsidP="004E0A55">
            <w:pPr>
              <w:spacing w:after="0" w:line="240" w:lineRule="auto"/>
              <w:contextualSpacing/>
              <w:jc w:val="center"/>
              <w:textAlignment w:val="top"/>
              <w:rPr>
                <w:rFonts w:cs="Calibri"/>
                <w:kern w:val="24"/>
                <w:sz w:val="24"/>
                <w:szCs w:val="24"/>
              </w:rPr>
            </w:pPr>
            <w:r w:rsidRPr="00CF0085">
              <w:rPr>
                <w:rFonts w:cs="Calibri"/>
                <w:kern w:val="24"/>
                <w:sz w:val="24"/>
                <w:szCs w:val="24"/>
              </w:rPr>
              <w:t>Voting</w:t>
            </w:r>
          </w:p>
        </w:tc>
      </w:tr>
      <w:tr w:rsidR="00CD0077" w:rsidRPr="00CF0085" w14:paraId="7DE57250" w14:textId="77777777" w:rsidTr="0063479A">
        <w:trPr>
          <w:trHeight w:val="320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53" w:type="dxa"/>
              <w:bottom w:w="75" w:type="dxa"/>
              <w:right w:w="53" w:type="dxa"/>
            </w:tcMar>
            <w:hideMark/>
          </w:tcPr>
          <w:p w14:paraId="06C080B9" w14:textId="77777777" w:rsidR="0017556E" w:rsidRPr="00CF0085" w:rsidRDefault="0017556E" w:rsidP="004E0A55">
            <w:pPr>
              <w:spacing w:after="0" w:line="240" w:lineRule="auto"/>
              <w:contextualSpacing/>
              <w:textAlignment w:val="top"/>
              <w:rPr>
                <w:rFonts w:cs="Calibri"/>
                <w:kern w:val="24"/>
                <w:sz w:val="24"/>
                <w:szCs w:val="24"/>
              </w:rPr>
            </w:pPr>
            <w:r w:rsidRPr="00CF0085">
              <w:rPr>
                <w:rFonts w:cs="Calibri"/>
                <w:kern w:val="24"/>
                <w:sz w:val="24"/>
                <w:szCs w:val="24"/>
              </w:rPr>
              <w:t>3.</w:t>
            </w:r>
          </w:p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53" w:type="dxa"/>
              <w:bottom w:w="75" w:type="dxa"/>
              <w:right w:w="53" w:type="dxa"/>
            </w:tcMar>
            <w:hideMark/>
          </w:tcPr>
          <w:p w14:paraId="2216FC6B" w14:textId="77777777" w:rsidR="0017556E" w:rsidRPr="00CF0085" w:rsidRDefault="0017556E" w:rsidP="004E0A55">
            <w:pPr>
              <w:pStyle w:val="Heading3"/>
              <w:ind w:left="133" w:firstLine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0085">
              <w:rPr>
                <w:rFonts w:ascii="Calibri" w:hAnsi="Calibri" w:cs="Calibri"/>
                <w:sz w:val="24"/>
                <w:szCs w:val="24"/>
              </w:rPr>
              <w:t>One student representative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53" w:type="dxa"/>
              <w:bottom w:w="75" w:type="dxa"/>
              <w:right w:w="53" w:type="dxa"/>
            </w:tcMar>
            <w:hideMark/>
          </w:tcPr>
          <w:p w14:paraId="66DE6C16" w14:textId="77777777" w:rsidR="0017556E" w:rsidRPr="00CF0085" w:rsidRDefault="0017556E" w:rsidP="004E0A55">
            <w:pPr>
              <w:spacing w:after="0" w:line="240" w:lineRule="auto"/>
              <w:contextualSpacing/>
              <w:jc w:val="center"/>
              <w:textAlignment w:val="top"/>
              <w:rPr>
                <w:rFonts w:cs="Calibri"/>
                <w:kern w:val="24"/>
                <w:sz w:val="24"/>
                <w:szCs w:val="24"/>
              </w:rPr>
            </w:pPr>
            <w:r w:rsidRPr="00CF0085">
              <w:rPr>
                <w:rFonts w:cs="Calibri"/>
                <w:kern w:val="24"/>
                <w:sz w:val="24"/>
                <w:szCs w:val="24"/>
              </w:rPr>
              <w:t>Advisory</w:t>
            </w:r>
          </w:p>
        </w:tc>
      </w:tr>
      <w:tr w:rsidR="00CD0077" w:rsidRPr="00CF0085" w14:paraId="5EDBC9B3" w14:textId="77777777" w:rsidTr="00E076D9">
        <w:trPr>
          <w:trHeight w:val="635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53" w:type="dxa"/>
              <w:bottom w:w="75" w:type="dxa"/>
              <w:right w:w="53" w:type="dxa"/>
            </w:tcMar>
            <w:hideMark/>
          </w:tcPr>
          <w:p w14:paraId="665F5D99" w14:textId="77777777" w:rsidR="0017556E" w:rsidRPr="00CF0085" w:rsidRDefault="0017556E" w:rsidP="004E0A55">
            <w:pPr>
              <w:spacing w:after="0" w:line="240" w:lineRule="auto"/>
              <w:contextualSpacing/>
              <w:textAlignment w:val="top"/>
              <w:rPr>
                <w:rFonts w:cs="Calibri"/>
                <w:kern w:val="24"/>
                <w:sz w:val="24"/>
                <w:szCs w:val="24"/>
              </w:rPr>
            </w:pPr>
            <w:r w:rsidRPr="00CF0085">
              <w:rPr>
                <w:rFonts w:cs="Calibri"/>
                <w:kern w:val="24"/>
                <w:sz w:val="24"/>
                <w:szCs w:val="24"/>
              </w:rPr>
              <w:t>4.</w:t>
            </w:r>
          </w:p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53" w:type="dxa"/>
              <w:bottom w:w="75" w:type="dxa"/>
              <w:right w:w="53" w:type="dxa"/>
            </w:tcMar>
            <w:hideMark/>
          </w:tcPr>
          <w:p w14:paraId="73969E34" w14:textId="77777777" w:rsidR="0017556E" w:rsidRPr="00CF0085" w:rsidRDefault="0017556E" w:rsidP="004E0A55">
            <w:pPr>
              <w:pStyle w:val="Heading3"/>
              <w:ind w:left="133" w:firstLine="0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CF0085">
              <w:rPr>
                <w:rFonts w:ascii="Calibri" w:hAnsi="Calibri" w:cs="Calibri"/>
                <w:sz w:val="24"/>
                <w:szCs w:val="24"/>
              </w:rPr>
              <w:t>One representative from the community who works in an organization that serves the Latinx community in the Imperial Valley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53" w:type="dxa"/>
              <w:bottom w:w="75" w:type="dxa"/>
              <w:right w:w="53" w:type="dxa"/>
            </w:tcMar>
            <w:hideMark/>
          </w:tcPr>
          <w:p w14:paraId="7440391B" w14:textId="77777777" w:rsidR="0017556E" w:rsidRPr="00CF0085" w:rsidRDefault="0017556E" w:rsidP="004E0A55">
            <w:pPr>
              <w:spacing w:after="0" w:line="240" w:lineRule="auto"/>
              <w:contextualSpacing/>
              <w:jc w:val="center"/>
              <w:textAlignment w:val="top"/>
              <w:rPr>
                <w:rFonts w:cs="Calibri"/>
                <w:kern w:val="24"/>
                <w:sz w:val="24"/>
                <w:szCs w:val="24"/>
              </w:rPr>
            </w:pPr>
            <w:r w:rsidRPr="00CF0085">
              <w:rPr>
                <w:rFonts w:cs="Calibri"/>
                <w:kern w:val="24"/>
                <w:sz w:val="24"/>
                <w:szCs w:val="24"/>
              </w:rPr>
              <w:t>Advisory</w:t>
            </w:r>
          </w:p>
        </w:tc>
      </w:tr>
    </w:tbl>
    <w:p w14:paraId="0CFFF023" w14:textId="3354166C" w:rsidR="0017556E" w:rsidRPr="00CF0085" w:rsidRDefault="0017556E" w:rsidP="004E0A55">
      <w:pPr>
        <w:pStyle w:val="Heading3"/>
        <w:ind w:left="720" w:firstLine="0"/>
        <w:contextualSpacing/>
        <w:rPr>
          <w:rFonts w:ascii="Calibri" w:hAnsi="Calibri" w:cs="Calibri"/>
          <w:sz w:val="24"/>
          <w:szCs w:val="24"/>
        </w:rPr>
      </w:pPr>
    </w:p>
    <w:tbl>
      <w:tblPr>
        <w:tblW w:w="1022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3"/>
        <w:gridCol w:w="8190"/>
        <w:gridCol w:w="1710"/>
      </w:tblGrid>
      <w:tr w:rsidR="00CD0077" w:rsidRPr="00CF0085" w14:paraId="17C12754" w14:textId="77777777" w:rsidTr="00CD0077">
        <w:trPr>
          <w:trHeight w:val="248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75" w:type="dxa"/>
              <w:left w:w="53" w:type="dxa"/>
              <w:bottom w:w="75" w:type="dxa"/>
              <w:right w:w="53" w:type="dxa"/>
            </w:tcMar>
            <w:hideMark/>
          </w:tcPr>
          <w:p w14:paraId="70A080F7" w14:textId="77777777" w:rsidR="00E076D9" w:rsidRPr="00CF0085" w:rsidRDefault="00E076D9" w:rsidP="004E0A55">
            <w:pPr>
              <w:spacing w:after="0" w:line="240" w:lineRule="auto"/>
              <w:contextualSpacing/>
              <w:textAlignment w:val="top"/>
              <w:rPr>
                <w:rFonts w:cs="Calibri"/>
                <w:kern w:val="24"/>
                <w:sz w:val="24"/>
                <w:szCs w:val="24"/>
              </w:rPr>
            </w:pPr>
            <w:r w:rsidRPr="00CF0085">
              <w:rPr>
                <w:rFonts w:cs="Calibri"/>
                <w:kern w:val="24"/>
                <w:sz w:val="24"/>
                <w:szCs w:val="24"/>
              </w:rPr>
              <w:t> 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75" w:type="dxa"/>
              <w:left w:w="53" w:type="dxa"/>
              <w:bottom w:w="75" w:type="dxa"/>
              <w:right w:w="53" w:type="dxa"/>
            </w:tcMar>
            <w:hideMark/>
          </w:tcPr>
          <w:p w14:paraId="588072D9" w14:textId="6A230156" w:rsidR="00E076D9" w:rsidRPr="00CF0085" w:rsidRDefault="0063479A" w:rsidP="004E0A55">
            <w:pPr>
              <w:spacing w:after="0" w:line="240" w:lineRule="auto"/>
              <w:contextualSpacing/>
              <w:jc w:val="center"/>
              <w:textAlignment w:val="top"/>
              <w:rPr>
                <w:rFonts w:cs="Calibri"/>
                <w:b/>
                <w:bCs/>
                <w:kern w:val="24"/>
                <w:sz w:val="24"/>
                <w:szCs w:val="24"/>
              </w:rPr>
            </w:pPr>
            <w:r w:rsidRPr="00CF0085">
              <w:rPr>
                <w:rFonts w:cs="Calibri"/>
                <w:b/>
                <w:bCs/>
                <w:kern w:val="24"/>
                <w:sz w:val="24"/>
                <w:szCs w:val="24"/>
              </w:rPr>
              <w:t xml:space="preserve">Two Hiring Committees: </w:t>
            </w:r>
            <w:r w:rsidR="00E076D9" w:rsidRPr="00CF0085">
              <w:rPr>
                <w:rFonts w:cs="Calibri"/>
                <w:b/>
                <w:bCs/>
                <w:kern w:val="24"/>
                <w:sz w:val="24"/>
                <w:szCs w:val="24"/>
              </w:rPr>
              <w:t>Cancer Disparities and Obesity/Physical Activity/Nutrition Science (SDSU Mesa)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75" w:type="dxa"/>
              <w:left w:w="53" w:type="dxa"/>
              <w:bottom w:w="75" w:type="dxa"/>
              <w:right w:w="53" w:type="dxa"/>
            </w:tcMar>
            <w:hideMark/>
          </w:tcPr>
          <w:p w14:paraId="52C2D70E" w14:textId="77777777" w:rsidR="00E076D9" w:rsidRPr="00CF0085" w:rsidRDefault="00E076D9" w:rsidP="004E0A55">
            <w:pPr>
              <w:spacing w:after="0" w:line="240" w:lineRule="auto"/>
              <w:contextualSpacing/>
              <w:jc w:val="center"/>
              <w:textAlignment w:val="top"/>
              <w:rPr>
                <w:rFonts w:cs="Calibri"/>
                <w:kern w:val="24"/>
                <w:sz w:val="24"/>
                <w:szCs w:val="24"/>
              </w:rPr>
            </w:pPr>
            <w:r w:rsidRPr="00CF0085">
              <w:rPr>
                <w:rFonts w:cs="Calibri"/>
                <w:kern w:val="24"/>
                <w:sz w:val="24"/>
                <w:szCs w:val="24"/>
              </w:rPr>
              <w:t>Voting/Advisory Status</w:t>
            </w:r>
          </w:p>
        </w:tc>
      </w:tr>
      <w:tr w:rsidR="00E076D9" w:rsidRPr="00CF0085" w14:paraId="64A83A46" w14:textId="77777777" w:rsidTr="00E076D9">
        <w:trPr>
          <w:trHeight w:val="266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53" w:type="dxa"/>
              <w:bottom w:w="75" w:type="dxa"/>
              <w:right w:w="53" w:type="dxa"/>
            </w:tcMar>
            <w:hideMark/>
          </w:tcPr>
          <w:p w14:paraId="680E82ED" w14:textId="77777777" w:rsidR="00E076D9" w:rsidRPr="00CF0085" w:rsidRDefault="00E076D9" w:rsidP="004E0A55">
            <w:pPr>
              <w:spacing w:after="0" w:line="240" w:lineRule="auto"/>
              <w:contextualSpacing/>
              <w:textAlignment w:val="top"/>
              <w:rPr>
                <w:rFonts w:cs="Calibri"/>
                <w:kern w:val="24"/>
                <w:sz w:val="24"/>
                <w:szCs w:val="24"/>
              </w:rPr>
            </w:pPr>
            <w:r w:rsidRPr="00CF0085">
              <w:rPr>
                <w:rFonts w:cs="Calibri"/>
                <w:kern w:val="24"/>
                <w:sz w:val="24"/>
                <w:szCs w:val="24"/>
              </w:rPr>
              <w:t>1.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53" w:type="dxa"/>
              <w:bottom w:w="75" w:type="dxa"/>
              <w:right w:w="53" w:type="dxa"/>
            </w:tcMar>
            <w:hideMark/>
          </w:tcPr>
          <w:p w14:paraId="0FC1ADE5" w14:textId="77777777" w:rsidR="00E076D9" w:rsidRPr="00CF0085" w:rsidRDefault="00E076D9" w:rsidP="004E0A55">
            <w:pPr>
              <w:spacing w:after="0" w:line="240" w:lineRule="auto"/>
              <w:contextualSpacing/>
              <w:textAlignment w:val="top"/>
              <w:rPr>
                <w:rFonts w:cs="Calibri"/>
                <w:kern w:val="24"/>
                <w:sz w:val="24"/>
                <w:szCs w:val="24"/>
              </w:rPr>
            </w:pPr>
            <w:r w:rsidRPr="00CF0085">
              <w:rPr>
                <w:rFonts w:cs="Calibri"/>
                <w:kern w:val="24"/>
                <w:sz w:val="24"/>
                <w:szCs w:val="24"/>
              </w:rPr>
              <w:t>Four T/TT faculty members (at least three from the colleges in which faculty will be recruited)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53" w:type="dxa"/>
              <w:bottom w:w="75" w:type="dxa"/>
              <w:right w:w="53" w:type="dxa"/>
            </w:tcMar>
            <w:hideMark/>
          </w:tcPr>
          <w:p w14:paraId="1438DDF8" w14:textId="77777777" w:rsidR="00E076D9" w:rsidRPr="00CF0085" w:rsidRDefault="00E076D9" w:rsidP="004E0A55">
            <w:pPr>
              <w:spacing w:after="0" w:line="240" w:lineRule="auto"/>
              <w:contextualSpacing/>
              <w:jc w:val="center"/>
              <w:textAlignment w:val="top"/>
              <w:rPr>
                <w:rFonts w:cs="Calibri"/>
                <w:kern w:val="24"/>
                <w:sz w:val="24"/>
                <w:szCs w:val="24"/>
              </w:rPr>
            </w:pPr>
            <w:r w:rsidRPr="00CF0085">
              <w:rPr>
                <w:rFonts w:cs="Calibri"/>
                <w:kern w:val="24"/>
                <w:sz w:val="24"/>
                <w:szCs w:val="24"/>
              </w:rPr>
              <w:t>Voting</w:t>
            </w:r>
          </w:p>
        </w:tc>
      </w:tr>
      <w:tr w:rsidR="00E076D9" w:rsidRPr="00CF0085" w14:paraId="0F9DCC04" w14:textId="77777777" w:rsidTr="00E076D9">
        <w:trPr>
          <w:trHeight w:val="212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53" w:type="dxa"/>
              <w:bottom w:w="75" w:type="dxa"/>
              <w:right w:w="53" w:type="dxa"/>
            </w:tcMar>
            <w:hideMark/>
          </w:tcPr>
          <w:p w14:paraId="24D07EB3" w14:textId="77777777" w:rsidR="00E076D9" w:rsidRPr="00CF0085" w:rsidRDefault="00E076D9" w:rsidP="004E0A55">
            <w:pPr>
              <w:spacing w:after="0" w:line="240" w:lineRule="auto"/>
              <w:contextualSpacing/>
              <w:textAlignment w:val="top"/>
              <w:rPr>
                <w:rFonts w:cs="Calibri"/>
                <w:kern w:val="24"/>
                <w:sz w:val="24"/>
                <w:szCs w:val="24"/>
              </w:rPr>
            </w:pPr>
            <w:r w:rsidRPr="00CF0085">
              <w:rPr>
                <w:rFonts w:cs="Calibri"/>
                <w:kern w:val="24"/>
                <w:sz w:val="24"/>
                <w:szCs w:val="24"/>
              </w:rPr>
              <w:t>2.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53" w:type="dxa"/>
              <w:bottom w:w="75" w:type="dxa"/>
              <w:right w:w="53" w:type="dxa"/>
            </w:tcMar>
            <w:hideMark/>
          </w:tcPr>
          <w:p w14:paraId="6D9968C0" w14:textId="77777777" w:rsidR="00E076D9" w:rsidRPr="00CF0085" w:rsidRDefault="00E076D9" w:rsidP="004E0A55">
            <w:pPr>
              <w:spacing w:after="0" w:line="240" w:lineRule="auto"/>
              <w:contextualSpacing/>
              <w:textAlignment w:val="top"/>
              <w:rPr>
                <w:rFonts w:cs="Calibri"/>
                <w:kern w:val="24"/>
                <w:sz w:val="24"/>
                <w:szCs w:val="24"/>
              </w:rPr>
            </w:pPr>
            <w:r w:rsidRPr="00CF0085">
              <w:rPr>
                <w:rFonts w:cs="Calibri"/>
                <w:kern w:val="24"/>
                <w:sz w:val="24"/>
                <w:szCs w:val="24"/>
              </w:rPr>
              <w:t>One of the Core FUERTE leaders (</w:t>
            </w:r>
            <w:proofErr w:type="spellStart"/>
            <w:r w:rsidRPr="00CF0085">
              <w:rPr>
                <w:rFonts w:cs="Calibri"/>
                <w:kern w:val="24"/>
                <w:sz w:val="24"/>
                <w:szCs w:val="24"/>
              </w:rPr>
              <w:t>Pitpitan</w:t>
            </w:r>
            <w:proofErr w:type="spellEnd"/>
            <w:r w:rsidRPr="00CF0085">
              <w:rPr>
                <w:rFonts w:cs="Calibri"/>
                <w:kern w:val="24"/>
                <w:sz w:val="24"/>
                <w:szCs w:val="24"/>
              </w:rPr>
              <w:t>, Reed or Zúñiga)*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53" w:type="dxa"/>
              <w:bottom w:w="75" w:type="dxa"/>
              <w:right w:w="53" w:type="dxa"/>
            </w:tcMar>
            <w:hideMark/>
          </w:tcPr>
          <w:p w14:paraId="315471C8" w14:textId="77777777" w:rsidR="00E076D9" w:rsidRPr="00CF0085" w:rsidRDefault="00E076D9" w:rsidP="004E0A55">
            <w:pPr>
              <w:spacing w:after="0" w:line="240" w:lineRule="auto"/>
              <w:contextualSpacing/>
              <w:jc w:val="center"/>
              <w:textAlignment w:val="top"/>
              <w:rPr>
                <w:rFonts w:cs="Calibri"/>
                <w:kern w:val="24"/>
                <w:sz w:val="24"/>
                <w:szCs w:val="24"/>
              </w:rPr>
            </w:pPr>
            <w:r w:rsidRPr="00CF0085">
              <w:rPr>
                <w:rFonts w:cs="Calibri"/>
                <w:kern w:val="24"/>
                <w:sz w:val="24"/>
                <w:szCs w:val="24"/>
              </w:rPr>
              <w:t>Voting</w:t>
            </w:r>
          </w:p>
        </w:tc>
      </w:tr>
      <w:tr w:rsidR="00E076D9" w:rsidRPr="00CF0085" w14:paraId="41292271" w14:textId="77777777" w:rsidTr="00E076D9">
        <w:trPr>
          <w:trHeight w:val="167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53" w:type="dxa"/>
              <w:bottom w:w="75" w:type="dxa"/>
              <w:right w:w="53" w:type="dxa"/>
            </w:tcMar>
            <w:hideMark/>
          </w:tcPr>
          <w:p w14:paraId="33A87E6F" w14:textId="77777777" w:rsidR="00E076D9" w:rsidRPr="00CF0085" w:rsidRDefault="00E076D9" w:rsidP="004E0A55">
            <w:pPr>
              <w:spacing w:after="0" w:line="240" w:lineRule="auto"/>
              <w:contextualSpacing/>
              <w:textAlignment w:val="top"/>
              <w:rPr>
                <w:rFonts w:cs="Calibri"/>
                <w:kern w:val="24"/>
                <w:sz w:val="24"/>
                <w:szCs w:val="24"/>
              </w:rPr>
            </w:pPr>
            <w:r w:rsidRPr="00CF0085">
              <w:rPr>
                <w:rFonts w:cs="Calibri"/>
                <w:kern w:val="24"/>
                <w:sz w:val="24"/>
                <w:szCs w:val="24"/>
              </w:rPr>
              <w:t>3.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53" w:type="dxa"/>
              <w:bottom w:w="75" w:type="dxa"/>
              <w:right w:w="53" w:type="dxa"/>
            </w:tcMar>
            <w:hideMark/>
          </w:tcPr>
          <w:p w14:paraId="62073F04" w14:textId="77777777" w:rsidR="00E076D9" w:rsidRPr="00CF0085" w:rsidRDefault="00E076D9" w:rsidP="004E0A55">
            <w:pPr>
              <w:spacing w:after="0" w:line="240" w:lineRule="auto"/>
              <w:contextualSpacing/>
              <w:textAlignment w:val="top"/>
              <w:rPr>
                <w:rFonts w:cs="Calibri"/>
                <w:kern w:val="24"/>
                <w:sz w:val="24"/>
                <w:szCs w:val="24"/>
              </w:rPr>
            </w:pPr>
            <w:r w:rsidRPr="00CF0085">
              <w:rPr>
                <w:rFonts w:cs="Calibri"/>
                <w:kern w:val="24"/>
                <w:sz w:val="24"/>
                <w:szCs w:val="24"/>
              </w:rPr>
              <w:t>One student representative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53" w:type="dxa"/>
              <w:bottom w:w="75" w:type="dxa"/>
              <w:right w:w="53" w:type="dxa"/>
            </w:tcMar>
            <w:hideMark/>
          </w:tcPr>
          <w:p w14:paraId="4B095C5C" w14:textId="77777777" w:rsidR="00E076D9" w:rsidRPr="00CF0085" w:rsidRDefault="00E076D9" w:rsidP="004E0A55">
            <w:pPr>
              <w:spacing w:after="0" w:line="240" w:lineRule="auto"/>
              <w:contextualSpacing/>
              <w:jc w:val="center"/>
              <w:textAlignment w:val="top"/>
              <w:rPr>
                <w:rFonts w:cs="Calibri"/>
                <w:kern w:val="24"/>
                <w:sz w:val="24"/>
                <w:szCs w:val="24"/>
              </w:rPr>
            </w:pPr>
            <w:r w:rsidRPr="00CF0085">
              <w:rPr>
                <w:rFonts w:cs="Calibri"/>
                <w:kern w:val="24"/>
                <w:sz w:val="24"/>
                <w:szCs w:val="24"/>
              </w:rPr>
              <w:t>Advisory</w:t>
            </w:r>
          </w:p>
        </w:tc>
      </w:tr>
      <w:tr w:rsidR="00E076D9" w:rsidRPr="00CF0085" w14:paraId="4AB517DC" w14:textId="77777777" w:rsidTr="00E076D9">
        <w:trPr>
          <w:trHeight w:val="563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53" w:type="dxa"/>
              <w:bottom w:w="75" w:type="dxa"/>
              <w:right w:w="53" w:type="dxa"/>
            </w:tcMar>
            <w:hideMark/>
          </w:tcPr>
          <w:p w14:paraId="621B2DE7" w14:textId="77777777" w:rsidR="00E076D9" w:rsidRPr="00CF0085" w:rsidRDefault="00E076D9" w:rsidP="004E0A55">
            <w:pPr>
              <w:spacing w:after="0" w:line="240" w:lineRule="auto"/>
              <w:contextualSpacing/>
              <w:textAlignment w:val="top"/>
              <w:rPr>
                <w:rFonts w:cs="Calibri"/>
                <w:kern w:val="24"/>
                <w:sz w:val="24"/>
                <w:szCs w:val="24"/>
              </w:rPr>
            </w:pPr>
            <w:r w:rsidRPr="00CF0085">
              <w:rPr>
                <w:rFonts w:cs="Calibri"/>
                <w:kern w:val="24"/>
                <w:sz w:val="24"/>
                <w:szCs w:val="24"/>
              </w:rPr>
              <w:t>4.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53" w:type="dxa"/>
              <w:bottom w:w="75" w:type="dxa"/>
              <w:right w:w="53" w:type="dxa"/>
            </w:tcMar>
            <w:hideMark/>
          </w:tcPr>
          <w:p w14:paraId="47BCE37D" w14:textId="77777777" w:rsidR="00E076D9" w:rsidRPr="00CF0085" w:rsidRDefault="00E076D9" w:rsidP="004E0A55">
            <w:pPr>
              <w:spacing w:after="0" w:line="240" w:lineRule="auto"/>
              <w:ind w:left="14"/>
              <w:contextualSpacing/>
              <w:textAlignment w:val="top"/>
              <w:rPr>
                <w:rFonts w:cs="Calibri"/>
                <w:kern w:val="24"/>
                <w:sz w:val="24"/>
                <w:szCs w:val="24"/>
              </w:rPr>
            </w:pPr>
            <w:r w:rsidRPr="00CF0085">
              <w:rPr>
                <w:rFonts w:cs="Calibri"/>
                <w:kern w:val="24"/>
                <w:sz w:val="24"/>
                <w:szCs w:val="24"/>
              </w:rPr>
              <w:t>One representative from the community who works in an organization that serves the Latinx community in San Diego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53" w:type="dxa"/>
              <w:bottom w:w="75" w:type="dxa"/>
              <w:right w:w="53" w:type="dxa"/>
            </w:tcMar>
            <w:hideMark/>
          </w:tcPr>
          <w:p w14:paraId="347013D1" w14:textId="77777777" w:rsidR="00E076D9" w:rsidRPr="00CF0085" w:rsidRDefault="00E076D9" w:rsidP="004E0A55">
            <w:pPr>
              <w:spacing w:after="0" w:line="240" w:lineRule="auto"/>
              <w:contextualSpacing/>
              <w:jc w:val="center"/>
              <w:textAlignment w:val="top"/>
              <w:rPr>
                <w:rFonts w:cs="Calibri"/>
                <w:kern w:val="24"/>
                <w:sz w:val="24"/>
                <w:szCs w:val="24"/>
              </w:rPr>
            </w:pPr>
            <w:r w:rsidRPr="00CF0085">
              <w:rPr>
                <w:rFonts w:cs="Calibri"/>
                <w:kern w:val="24"/>
                <w:sz w:val="24"/>
                <w:szCs w:val="24"/>
              </w:rPr>
              <w:t>Advisory</w:t>
            </w:r>
          </w:p>
        </w:tc>
      </w:tr>
    </w:tbl>
    <w:p w14:paraId="37F7E8C2" w14:textId="3BECEC66" w:rsidR="00641B3D" w:rsidRPr="00CF0085" w:rsidRDefault="0063479A" w:rsidP="004E0A55">
      <w:pPr>
        <w:spacing w:after="0" w:line="240" w:lineRule="auto"/>
        <w:contextualSpacing/>
        <w:rPr>
          <w:rFonts w:cs="Calibri"/>
          <w:kern w:val="24"/>
          <w:sz w:val="24"/>
          <w:szCs w:val="24"/>
        </w:rPr>
      </w:pPr>
      <w:r w:rsidRPr="00CF0085">
        <w:rPr>
          <w:rFonts w:cs="Calibri"/>
          <w:sz w:val="24"/>
          <w:szCs w:val="24"/>
        </w:rPr>
        <w:t>* Will undergo training to reduce hiring bias from the Center for Inclusive Excellence (CIE)</w:t>
      </w:r>
    </w:p>
    <w:sectPr w:rsidR="00641B3D" w:rsidRPr="00CF0085" w:rsidSect="00F1238C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D22DB22"/>
    <w:lvl w:ilvl="0">
      <w:numFmt w:val="bullet"/>
      <w:lvlText w:val="*"/>
      <w:lvlJc w:val="left"/>
    </w:lvl>
  </w:abstractNum>
  <w:abstractNum w:abstractNumId="1" w15:restartNumberingAfterBreak="0">
    <w:nsid w:val="127C3FFB"/>
    <w:multiLevelType w:val="hybridMultilevel"/>
    <w:tmpl w:val="7FA8F89E"/>
    <w:lvl w:ilvl="0" w:tplc="8E46A5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B4474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669960">
      <w:numFmt w:val="none"/>
      <w:lvlText w:val=""/>
      <w:lvlJc w:val="left"/>
      <w:pPr>
        <w:tabs>
          <w:tab w:val="num" w:pos="360"/>
        </w:tabs>
      </w:pPr>
    </w:lvl>
    <w:lvl w:ilvl="3" w:tplc="8098CD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A0AE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08F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4409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294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AEA5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E7F00"/>
    <w:multiLevelType w:val="hybridMultilevel"/>
    <w:tmpl w:val="01080948"/>
    <w:lvl w:ilvl="0" w:tplc="5B7645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3A0D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209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B0AD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481A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0839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5ACD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D4EF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F482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56"/>
        </w:rPr>
      </w:lvl>
    </w:lvlOverride>
  </w:num>
  <w:num w:numId="2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52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52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56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48"/>
        </w:rPr>
      </w:lvl>
    </w:lvlOverride>
  </w:num>
  <w:num w:numId="6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64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64"/>
        </w:rPr>
      </w:lvl>
    </w:lvlOverride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38C"/>
    <w:rsid w:val="00007DE3"/>
    <w:rsid w:val="000B5A45"/>
    <w:rsid w:val="0017556E"/>
    <w:rsid w:val="002630B3"/>
    <w:rsid w:val="00273441"/>
    <w:rsid w:val="002A0724"/>
    <w:rsid w:val="00327963"/>
    <w:rsid w:val="00395D99"/>
    <w:rsid w:val="0042717D"/>
    <w:rsid w:val="004E0A55"/>
    <w:rsid w:val="00514C3F"/>
    <w:rsid w:val="005C6D4D"/>
    <w:rsid w:val="0063479A"/>
    <w:rsid w:val="00641B3D"/>
    <w:rsid w:val="00697857"/>
    <w:rsid w:val="006D2802"/>
    <w:rsid w:val="00781E53"/>
    <w:rsid w:val="007E2DF8"/>
    <w:rsid w:val="008530BE"/>
    <w:rsid w:val="00937F18"/>
    <w:rsid w:val="00940A5C"/>
    <w:rsid w:val="009A3661"/>
    <w:rsid w:val="009B1FD4"/>
    <w:rsid w:val="009C4584"/>
    <w:rsid w:val="00A00F2C"/>
    <w:rsid w:val="00A40417"/>
    <w:rsid w:val="00B42C24"/>
    <w:rsid w:val="00B42CEC"/>
    <w:rsid w:val="00B5262A"/>
    <w:rsid w:val="00B56855"/>
    <w:rsid w:val="00BC661D"/>
    <w:rsid w:val="00C33145"/>
    <w:rsid w:val="00C81261"/>
    <w:rsid w:val="00C97532"/>
    <w:rsid w:val="00CD0077"/>
    <w:rsid w:val="00CF0085"/>
    <w:rsid w:val="00D564E6"/>
    <w:rsid w:val="00D75C5B"/>
    <w:rsid w:val="00D9476D"/>
    <w:rsid w:val="00E076D9"/>
    <w:rsid w:val="00EB6A36"/>
    <w:rsid w:val="00EE048F"/>
    <w:rsid w:val="00F1238C"/>
    <w:rsid w:val="00F15652"/>
    <w:rsid w:val="00F7106F"/>
    <w:rsid w:val="00FB0B31"/>
    <w:rsid w:val="00FD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20C6B8"/>
  <w14:defaultImageDpi w14:val="0"/>
  <w15:docId w15:val="{7545060D-18B9-4C54-BCDE-CE572F1A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855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360" w:hanging="360"/>
      <w:outlineLvl w:val="0"/>
    </w:pPr>
    <w:rPr>
      <w:rFonts w:ascii="Times New Roman" w:hAnsi="Times New Roman"/>
      <w:kern w:val="24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080" w:hanging="360"/>
      <w:outlineLvl w:val="1"/>
    </w:pPr>
    <w:rPr>
      <w:rFonts w:ascii="Times New Roman" w:hAnsi="Times New Roman"/>
      <w:kern w:val="24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hAnsi="Times New Roman"/>
      <w:kern w:val="24"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Times New Roman" w:hAnsi="Times New Roman"/>
      <w:kern w:val="24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Times New Roman" w:hAnsi="Times New Roman"/>
      <w:kern w:val="2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/>
      <w:kern w:val="24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/>
      <w:kern w:val="24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/>
      <w:kern w:val="24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/>
      <w:kern w:val="2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link w:val="Heading7"/>
    <w:uiPriority w:val="9"/>
    <w:semiHidden/>
    <w:locked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locked/>
    <w:rPr>
      <w:rFonts w:ascii="Calibri Light" w:eastAsia="Times New Roman" w:hAnsi="Calibri Light" w:cs="Times New Roman"/>
    </w:rPr>
  </w:style>
  <w:style w:type="paragraph" w:styleId="NormalWeb">
    <w:name w:val="Normal (Web)"/>
    <w:basedOn w:val="Normal"/>
    <w:uiPriority w:val="99"/>
    <w:semiHidden/>
    <w:unhideWhenUsed/>
    <w:rsid w:val="001755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C45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5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58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5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5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58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0085"/>
    <w:rPr>
      <w:color w:val="0000FF"/>
      <w:u w:val="single"/>
    </w:rPr>
  </w:style>
  <w:style w:type="character" w:customStyle="1" w:styleId="gmaildefault">
    <w:name w:val="gmail_default"/>
    <w:basedOn w:val="DefaultParagraphFont"/>
    <w:rsid w:val="00B56855"/>
  </w:style>
  <w:style w:type="character" w:styleId="UnresolvedMention">
    <w:name w:val="Unresolved Mention"/>
    <w:basedOn w:val="DefaultParagraphFont"/>
    <w:uiPriority w:val="99"/>
    <w:semiHidden/>
    <w:unhideWhenUsed/>
    <w:rsid w:val="00940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2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370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720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721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0473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9909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0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842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363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490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2yEw2JGE2RNJLk4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2yEw2JGE2RNJLk496" TargetMode="External"/><Relationship Id="rId5" Type="http://schemas.openxmlformats.org/officeDocument/2006/relationships/hyperlink" Target="mailto:mreed@sdsu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MariaLuisa Zuniga</dc:creator>
  <cp:keywords/>
  <dc:description/>
  <cp:lastModifiedBy>MariaLuisa Zuniga</cp:lastModifiedBy>
  <cp:revision>2</cp:revision>
  <dcterms:created xsi:type="dcterms:W3CDTF">2021-09-29T17:39:00Z</dcterms:created>
  <dcterms:modified xsi:type="dcterms:W3CDTF">2021-09-29T17:39:00Z</dcterms:modified>
</cp:coreProperties>
</file>